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A32" w:rsidRDefault="00EF5A32">
      <w:pPr>
        <w:pStyle w:val="ConsPlusTitlePage"/>
      </w:pPr>
      <w:r>
        <w:t xml:space="preserve">Документ предоставлен </w:t>
      </w:r>
      <w:hyperlink r:id="rId5">
        <w:r>
          <w:rPr>
            <w:color w:val="0000FF"/>
          </w:rPr>
          <w:t>КонсультантПлюс</w:t>
        </w:r>
      </w:hyperlink>
      <w:r>
        <w:br/>
      </w:r>
      <w:bookmarkStart w:id="0" w:name="_GoBack"/>
    </w:p>
    <w:bookmarkEnd w:id="0"/>
    <w:p w:rsidR="00EF5A32" w:rsidRDefault="00EF5A32">
      <w:pPr>
        <w:pStyle w:val="ConsPlusNormal"/>
        <w:jc w:val="both"/>
        <w:outlineLvl w:val="0"/>
      </w:pPr>
    </w:p>
    <w:p w:rsidR="00EF5A32" w:rsidRDefault="00EF5A32">
      <w:pPr>
        <w:pStyle w:val="ConsPlusNormal"/>
        <w:outlineLvl w:val="0"/>
      </w:pPr>
      <w:r>
        <w:t>Зарегистрировано в Минюсте России 16 июля 2020 г. N 58980</w:t>
      </w:r>
    </w:p>
    <w:p w:rsidR="00EF5A32" w:rsidRDefault="00EF5A32">
      <w:pPr>
        <w:pStyle w:val="ConsPlusNormal"/>
        <w:pBdr>
          <w:bottom w:val="single" w:sz="6" w:space="0" w:color="auto"/>
        </w:pBdr>
        <w:spacing w:before="100" w:after="100"/>
        <w:jc w:val="both"/>
        <w:rPr>
          <w:sz w:val="2"/>
          <w:szCs w:val="2"/>
        </w:rPr>
      </w:pPr>
    </w:p>
    <w:p w:rsidR="00EF5A32" w:rsidRDefault="00EF5A32">
      <w:pPr>
        <w:pStyle w:val="ConsPlusNormal"/>
        <w:jc w:val="both"/>
      </w:pPr>
    </w:p>
    <w:p w:rsidR="00EF5A32" w:rsidRDefault="00EF5A32">
      <w:pPr>
        <w:pStyle w:val="ConsPlusTitle"/>
        <w:jc w:val="center"/>
      </w:pPr>
      <w:r>
        <w:t>МИНИСТЕРСТВО СТРОИТЕЛЬСТВА И ЖИЛИЩНО-КОММУНАЛЬНОГО</w:t>
      </w:r>
    </w:p>
    <w:p w:rsidR="00EF5A32" w:rsidRDefault="00EF5A32">
      <w:pPr>
        <w:pStyle w:val="ConsPlusTitle"/>
        <w:jc w:val="center"/>
      </w:pPr>
      <w:r>
        <w:t>ХОЗЯЙСТВА РОССИЙСКОЙ ФЕДЕРАЦИИ</w:t>
      </w:r>
    </w:p>
    <w:p w:rsidR="00EF5A32" w:rsidRDefault="00EF5A32">
      <w:pPr>
        <w:pStyle w:val="ConsPlusTitle"/>
        <w:jc w:val="center"/>
      </w:pPr>
    </w:p>
    <w:p w:rsidR="00EF5A32" w:rsidRDefault="00EF5A32">
      <w:pPr>
        <w:pStyle w:val="ConsPlusTitle"/>
        <w:jc w:val="center"/>
      </w:pPr>
      <w:r>
        <w:t>ПРИКАЗ</w:t>
      </w:r>
    </w:p>
    <w:p w:rsidR="00EF5A32" w:rsidRDefault="00EF5A32">
      <w:pPr>
        <w:pStyle w:val="ConsPlusTitle"/>
        <w:jc w:val="center"/>
      </w:pPr>
      <w:r>
        <w:t>от 2 июня 2020 г. N 297/</w:t>
      </w:r>
      <w:proofErr w:type="gramStart"/>
      <w:r>
        <w:t>пр</w:t>
      </w:r>
      <w:proofErr w:type="gramEnd"/>
    </w:p>
    <w:p w:rsidR="00EF5A32" w:rsidRDefault="00EF5A32">
      <w:pPr>
        <w:pStyle w:val="ConsPlusTitle"/>
        <w:jc w:val="center"/>
      </w:pPr>
    </w:p>
    <w:p w:rsidR="00EF5A32" w:rsidRDefault="00EF5A32">
      <w:pPr>
        <w:pStyle w:val="ConsPlusTitle"/>
        <w:jc w:val="center"/>
      </w:pPr>
      <w:r>
        <w:t>ОБ УТВЕРЖДЕНИИ МЕТОДИКИ</w:t>
      </w:r>
    </w:p>
    <w:p w:rsidR="00EF5A32" w:rsidRDefault="00EF5A32">
      <w:pPr>
        <w:pStyle w:val="ConsPlusTitle"/>
        <w:jc w:val="center"/>
      </w:pPr>
      <w:r>
        <w:t>ОПРЕДЕЛЕНИЯ ЗАТРАТ НА ОСУЩЕСТВЛЕНИЕ ФУНКЦИЙ</w:t>
      </w:r>
    </w:p>
    <w:p w:rsidR="00EF5A32" w:rsidRDefault="00EF5A32">
      <w:pPr>
        <w:pStyle w:val="ConsPlusTitle"/>
        <w:jc w:val="center"/>
      </w:pPr>
      <w:r>
        <w:t>ТЕХНИЧЕСКОГО ЗАКАЗЧИКА</w:t>
      </w:r>
    </w:p>
    <w:p w:rsidR="00EF5A32" w:rsidRDefault="00EF5A3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A3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A32" w:rsidRDefault="00EF5A3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A32" w:rsidRDefault="00EF5A32">
            <w:pPr>
              <w:pStyle w:val="ConsPlusNormal"/>
              <w:jc w:val="center"/>
            </w:pPr>
            <w:r>
              <w:rPr>
                <w:color w:val="392C69"/>
              </w:rPr>
              <w:t>Список изменяющих документов</w:t>
            </w:r>
          </w:p>
          <w:p w:rsidR="00EF5A32" w:rsidRDefault="00EF5A32">
            <w:pPr>
              <w:pStyle w:val="ConsPlusNormal"/>
              <w:jc w:val="center"/>
            </w:pPr>
            <w:r>
              <w:rPr>
                <w:color w:val="392C69"/>
              </w:rPr>
              <w:t xml:space="preserve">(в ред. </w:t>
            </w:r>
            <w:hyperlink r:id="rId6">
              <w:r>
                <w:rPr>
                  <w:color w:val="0000FF"/>
                </w:rPr>
                <w:t>Приказа</w:t>
              </w:r>
            </w:hyperlink>
            <w:r>
              <w:rPr>
                <w:color w:val="392C69"/>
              </w:rPr>
              <w:t xml:space="preserve"> Минстроя России от 15.01.2024 N 13/</w:t>
            </w:r>
            <w:proofErr w:type="gramStart"/>
            <w:r>
              <w:rPr>
                <w:color w:val="392C69"/>
              </w:rPr>
              <w:t>пр</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r>
    </w:tbl>
    <w:p w:rsidR="00EF5A32" w:rsidRDefault="00EF5A32">
      <w:pPr>
        <w:pStyle w:val="ConsPlusNormal"/>
        <w:jc w:val="both"/>
      </w:pPr>
    </w:p>
    <w:p w:rsidR="00EF5A32" w:rsidRDefault="00EF5A32">
      <w:pPr>
        <w:pStyle w:val="ConsPlusNormal"/>
        <w:ind w:firstLine="540"/>
        <w:jc w:val="both"/>
      </w:pPr>
      <w:r>
        <w:t xml:space="preserve">В соответствии с </w:t>
      </w:r>
      <w:hyperlink r:id="rId7">
        <w:r>
          <w:rPr>
            <w:color w:val="0000FF"/>
          </w:rPr>
          <w:t>пунктом 33 статьи 1</w:t>
        </w:r>
      </w:hyperlink>
      <w:r>
        <w:t xml:space="preserve">, </w:t>
      </w:r>
      <w:hyperlink r:id="rId8">
        <w:r>
          <w:rPr>
            <w:color w:val="0000FF"/>
          </w:rPr>
          <w:t>пунктом 7.5 части 1 статьи 6</w:t>
        </w:r>
      </w:hyperlink>
      <w:r>
        <w:t xml:space="preserve">, </w:t>
      </w:r>
      <w:hyperlink r:id="rId9">
        <w:r>
          <w:rPr>
            <w:color w:val="0000FF"/>
          </w:rPr>
          <w:t>частью 3 статьи 8.3</w:t>
        </w:r>
      </w:hyperlink>
      <w:r>
        <w:t xml:space="preserve"> Градостроительного кодекса Российской Федерации (Собрание законодательства Российской Федерации, 2005, N 1, ст. 16; </w:t>
      </w:r>
      <w:proofErr w:type="gramStart"/>
      <w:r>
        <w:t xml:space="preserve">официальный интернет-портал правовой информации http://www.pravo.gov.ru, 24 апреля 2020 г., N 0001202004240048), </w:t>
      </w:r>
      <w:hyperlink r:id="rId10">
        <w:r>
          <w:rPr>
            <w:color w:val="0000FF"/>
          </w:rPr>
          <w:t>подпунктом 5.4.23.1 пункта 5</w:t>
        </w:r>
      </w:hyperlink>
      <w:r>
        <w:t xml:space="preserve"> Положения о Министерстве строительства и жилищно-коммунального хозяйства Российской Федерации, утвержденного постановлением Правительства Российской Федерации от 18 ноября 2013 г. N 1038 (Собрание законодательства Российской Федерации, 2013, N 47, ст. 6117; 2020, N 7, ст. 831), приказываю:</w:t>
      </w:r>
      <w:proofErr w:type="gramEnd"/>
    </w:p>
    <w:p w:rsidR="00EF5A32" w:rsidRDefault="00EF5A32">
      <w:pPr>
        <w:pStyle w:val="ConsPlusNormal"/>
        <w:spacing w:before="220"/>
        <w:ind w:firstLine="540"/>
        <w:jc w:val="both"/>
      </w:pPr>
      <w:r>
        <w:t xml:space="preserve">утвердить прилагаемую </w:t>
      </w:r>
      <w:hyperlink w:anchor="P32">
        <w:r>
          <w:rPr>
            <w:color w:val="0000FF"/>
          </w:rPr>
          <w:t>Методику</w:t>
        </w:r>
      </w:hyperlink>
      <w:r>
        <w:t xml:space="preserve"> определения затрат на осуществление функций технического заказчика.</w:t>
      </w:r>
    </w:p>
    <w:p w:rsidR="00EF5A32" w:rsidRDefault="00EF5A32">
      <w:pPr>
        <w:pStyle w:val="ConsPlusNormal"/>
        <w:jc w:val="both"/>
      </w:pPr>
    </w:p>
    <w:p w:rsidR="00EF5A32" w:rsidRDefault="00EF5A32">
      <w:pPr>
        <w:pStyle w:val="ConsPlusNormal"/>
        <w:jc w:val="right"/>
      </w:pPr>
      <w:r>
        <w:t>Министр</w:t>
      </w:r>
    </w:p>
    <w:p w:rsidR="00EF5A32" w:rsidRDefault="00EF5A32">
      <w:pPr>
        <w:pStyle w:val="ConsPlusNormal"/>
        <w:jc w:val="right"/>
      </w:pPr>
      <w:r>
        <w:t>В.В.ЯКУШЕВ</w:t>
      </w: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right"/>
        <w:outlineLvl w:val="0"/>
      </w:pPr>
      <w:r>
        <w:t>Утверждена</w:t>
      </w:r>
    </w:p>
    <w:p w:rsidR="00EF5A32" w:rsidRDefault="00EF5A32">
      <w:pPr>
        <w:pStyle w:val="ConsPlusNormal"/>
        <w:jc w:val="right"/>
      </w:pPr>
      <w:r>
        <w:t>приказом Министерства строительства</w:t>
      </w:r>
    </w:p>
    <w:p w:rsidR="00EF5A32" w:rsidRDefault="00EF5A32">
      <w:pPr>
        <w:pStyle w:val="ConsPlusNormal"/>
        <w:jc w:val="right"/>
      </w:pPr>
      <w:r>
        <w:t>и жилищно-коммунального хозяйства</w:t>
      </w:r>
    </w:p>
    <w:p w:rsidR="00EF5A32" w:rsidRDefault="00EF5A32">
      <w:pPr>
        <w:pStyle w:val="ConsPlusNormal"/>
        <w:jc w:val="right"/>
      </w:pPr>
      <w:r>
        <w:t>Российской Федерации</w:t>
      </w:r>
    </w:p>
    <w:p w:rsidR="00EF5A32" w:rsidRDefault="00EF5A32">
      <w:pPr>
        <w:pStyle w:val="ConsPlusNormal"/>
        <w:jc w:val="right"/>
      </w:pPr>
      <w:r>
        <w:t>от 2 июня 2020 г. N 297/</w:t>
      </w:r>
      <w:proofErr w:type="gramStart"/>
      <w:r>
        <w:t>пр</w:t>
      </w:r>
      <w:proofErr w:type="gramEnd"/>
    </w:p>
    <w:p w:rsidR="00EF5A32" w:rsidRDefault="00EF5A32">
      <w:pPr>
        <w:pStyle w:val="ConsPlusNormal"/>
        <w:jc w:val="both"/>
      </w:pPr>
    </w:p>
    <w:p w:rsidR="00EF5A32" w:rsidRDefault="00EF5A32">
      <w:pPr>
        <w:pStyle w:val="ConsPlusTitle"/>
        <w:jc w:val="center"/>
      </w:pPr>
      <w:bookmarkStart w:id="1" w:name="P32"/>
      <w:bookmarkEnd w:id="1"/>
      <w:r>
        <w:t>МЕТОДИКА</w:t>
      </w:r>
    </w:p>
    <w:p w:rsidR="00EF5A32" w:rsidRDefault="00EF5A32">
      <w:pPr>
        <w:pStyle w:val="ConsPlusTitle"/>
        <w:jc w:val="center"/>
      </w:pPr>
      <w:r>
        <w:t>ОПРЕДЕЛЕНИЯ ЗАТРАТ НА ОСУЩЕСТВЛЕНИЕ ФУНКЦИЙ</w:t>
      </w:r>
    </w:p>
    <w:p w:rsidR="00EF5A32" w:rsidRDefault="00EF5A32">
      <w:pPr>
        <w:pStyle w:val="ConsPlusTitle"/>
        <w:jc w:val="center"/>
      </w:pPr>
      <w:r>
        <w:t>ТЕХНИЧЕСКОГО ЗАКАЗЧИКА</w:t>
      </w:r>
    </w:p>
    <w:p w:rsidR="00EF5A32" w:rsidRDefault="00EF5A3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A3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A32" w:rsidRDefault="00EF5A3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A32" w:rsidRDefault="00EF5A32">
            <w:pPr>
              <w:pStyle w:val="ConsPlusNormal"/>
              <w:jc w:val="center"/>
            </w:pPr>
            <w:r>
              <w:rPr>
                <w:color w:val="392C69"/>
              </w:rPr>
              <w:t>Список изменяющих документов</w:t>
            </w:r>
          </w:p>
          <w:p w:rsidR="00EF5A32" w:rsidRDefault="00EF5A32">
            <w:pPr>
              <w:pStyle w:val="ConsPlusNormal"/>
              <w:jc w:val="center"/>
            </w:pPr>
            <w:r>
              <w:rPr>
                <w:color w:val="392C69"/>
              </w:rPr>
              <w:t xml:space="preserve">(в ред. </w:t>
            </w:r>
            <w:hyperlink r:id="rId11">
              <w:r>
                <w:rPr>
                  <w:color w:val="0000FF"/>
                </w:rPr>
                <w:t>Приказа</w:t>
              </w:r>
            </w:hyperlink>
            <w:r>
              <w:rPr>
                <w:color w:val="392C69"/>
              </w:rPr>
              <w:t xml:space="preserve"> Минстроя России от 15.01.2024 N 13/</w:t>
            </w:r>
            <w:proofErr w:type="gramStart"/>
            <w:r>
              <w:rPr>
                <w:color w:val="392C69"/>
              </w:rPr>
              <w:t>пр</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r>
    </w:tbl>
    <w:p w:rsidR="00EF5A32" w:rsidRDefault="00EF5A32">
      <w:pPr>
        <w:pStyle w:val="ConsPlusNormal"/>
        <w:jc w:val="both"/>
      </w:pPr>
    </w:p>
    <w:p w:rsidR="00EF5A32" w:rsidRDefault="00EF5A32">
      <w:pPr>
        <w:pStyle w:val="ConsPlusTitle"/>
        <w:jc w:val="center"/>
        <w:outlineLvl w:val="1"/>
      </w:pPr>
      <w:r>
        <w:t>I. Общие положения</w:t>
      </w:r>
    </w:p>
    <w:p w:rsidR="00EF5A32" w:rsidRDefault="00EF5A32">
      <w:pPr>
        <w:pStyle w:val="ConsPlusNormal"/>
        <w:jc w:val="both"/>
      </w:pPr>
    </w:p>
    <w:p w:rsidR="00EF5A32" w:rsidRDefault="00EF5A32">
      <w:pPr>
        <w:pStyle w:val="ConsPlusNormal"/>
        <w:ind w:firstLine="540"/>
        <w:jc w:val="both"/>
      </w:pPr>
      <w:r>
        <w:lastRenderedPageBreak/>
        <w:t xml:space="preserve">1. Методика определения затрат на осуществление функций технического заказчика (далее - Методика) предназначена для применения при определении сметной стоимости строительства, реконструкции, капитального ремонта, сноса (далее - строительство) объектов капитального строительства в соответствии с </w:t>
      </w:r>
      <w:hyperlink r:id="rId12">
        <w:r>
          <w:rPr>
            <w:color w:val="0000FF"/>
          </w:rPr>
          <w:t>частью 1 статьи 8.3</w:t>
        </w:r>
      </w:hyperlink>
      <w:r>
        <w:t xml:space="preserve"> Градостроительного Кодекса Российской Федерации (Собрание законодательства Российской Федерации, 2005, N 1, ст. 16; официальный интернет-портал правовой информации http://www.pravo.gov.ru, 24 апреля 2020 г., N 0001202004240048) (далее - сметная стоимость строительства).</w:t>
      </w:r>
    </w:p>
    <w:p w:rsidR="00EF5A32" w:rsidRDefault="00EF5A32">
      <w:pPr>
        <w:pStyle w:val="ConsPlusNormal"/>
        <w:spacing w:before="220"/>
        <w:ind w:firstLine="540"/>
        <w:jc w:val="both"/>
      </w:pPr>
      <w:r>
        <w:t xml:space="preserve">2. Затраты на осуществление функций технического заказчика (расходы на обеспечение деятельности технического заказчика, в том числе его содержание) финансируются за счет средств, предназначенных для финансирования капитального строительства, и включаются в стоимость законченного строительством объекта, за исключением случаев, указанных в </w:t>
      </w:r>
      <w:hyperlink w:anchor="P47">
        <w:r>
          <w:rPr>
            <w:color w:val="0000FF"/>
          </w:rPr>
          <w:t>пункте 4</w:t>
        </w:r>
      </w:hyperlink>
      <w:r>
        <w:t xml:space="preserve"> Методики.</w:t>
      </w:r>
    </w:p>
    <w:p w:rsidR="00EF5A32" w:rsidRDefault="00EF5A32">
      <w:pPr>
        <w:pStyle w:val="ConsPlusNormal"/>
        <w:spacing w:before="220"/>
        <w:ind w:firstLine="540"/>
        <w:jc w:val="both"/>
      </w:pPr>
      <w:r>
        <w:t xml:space="preserve">3. Рекомендуемый перечень функций технического заказчика, затраты на осуществление которых определяются в соответствии с положениями Методики и включаются в сводный сметный расчет стоимости строительства (далее - ССРСС), приведен в </w:t>
      </w:r>
      <w:hyperlink w:anchor="P131">
        <w:r>
          <w:rPr>
            <w:color w:val="0000FF"/>
          </w:rPr>
          <w:t>Приложении N 1</w:t>
        </w:r>
      </w:hyperlink>
      <w:r>
        <w:t xml:space="preserve"> к Методике.</w:t>
      </w:r>
    </w:p>
    <w:p w:rsidR="00EF5A32" w:rsidRDefault="00EF5A32">
      <w:pPr>
        <w:pStyle w:val="ConsPlusNormal"/>
        <w:jc w:val="both"/>
      </w:pPr>
    </w:p>
    <w:p w:rsidR="00EF5A32" w:rsidRDefault="00EF5A32">
      <w:pPr>
        <w:pStyle w:val="ConsPlusTitle"/>
        <w:jc w:val="center"/>
        <w:outlineLvl w:val="1"/>
      </w:pPr>
      <w:r>
        <w:t>II. Порядок расчета затрат на осуществление функций</w:t>
      </w:r>
    </w:p>
    <w:p w:rsidR="00EF5A32" w:rsidRDefault="00EF5A32">
      <w:pPr>
        <w:pStyle w:val="ConsPlusTitle"/>
        <w:jc w:val="center"/>
      </w:pPr>
      <w:r>
        <w:t>технического заказчика</w:t>
      </w:r>
    </w:p>
    <w:p w:rsidR="00EF5A32" w:rsidRDefault="00EF5A32">
      <w:pPr>
        <w:pStyle w:val="ConsPlusNormal"/>
        <w:jc w:val="both"/>
      </w:pPr>
    </w:p>
    <w:p w:rsidR="00EF5A32" w:rsidRDefault="00EF5A32">
      <w:pPr>
        <w:pStyle w:val="ConsPlusNormal"/>
        <w:ind w:firstLine="540"/>
        <w:jc w:val="both"/>
      </w:pPr>
      <w:bookmarkStart w:id="2" w:name="P47"/>
      <w:bookmarkEnd w:id="2"/>
      <w:r>
        <w:t>4. Затраты на осуществление функций технического заказчика в случае финансового обеспечения его деятельности за счет капитальных вложений, выделяемых на строительство объектов капитального строительства, определяются расчетом, согласованным застройщиком, с учетом численности работников технического заказчика и включаются в графы 7 и 8 главы 10 "Содержание службы заказчика. Строительный контроль" ССРСС в уровне цен, сложившемся ко времени составления сметной документации на строительство объекта капитального строительства в составе проектной документации, без учета налога на добавленную стоимость.</w:t>
      </w:r>
    </w:p>
    <w:p w:rsidR="00EF5A32" w:rsidRDefault="00EF5A32">
      <w:pPr>
        <w:pStyle w:val="ConsPlusNormal"/>
        <w:spacing w:before="220"/>
        <w:ind w:firstLine="540"/>
        <w:jc w:val="both"/>
      </w:pPr>
      <w:proofErr w:type="gramStart"/>
      <w:r>
        <w:t xml:space="preserve">В случае, если функции технического заказчика по объекту капитального строительства осуществляет уполномоченная застройщиком организация, деятельность которой финансируется за счет целевых средств, выделяемых на ее текущее содержание на основании утвержденной в установленном бюджетным законодательством Российской Федерации порядке в рамках лимитов бюджетных обязательств, и иных средств, не предусмотренных в </w:t>
      </w:r>
      <w:hyperlink w:anchor="P47">
        <w:r>
          <w:rPr>
            <w:color w:val="0000FF"/>
          </w:rPr>
          <w:t>абзаце первом</w:t>
        </w:r>
      </w:hyperlink>
      <w:r>
        <w:t xml:space="preserve"> настоящего пункта, затраты на осуществление функций технического заказчика в ССРСС не</w:t>
      </w:r>
      <w:proofErr w:type="gramEnd"/>
      <w:r>
        <w:t xml:space="preserve"> включаются.</w:t>
      </w:r>
    </w:p>
    <w:p w:rsidR="00EF5A32" w:rsidRDefault="00EF5A32">
      <w:pPr>
        <w:pStyle w:val="ConsPlusNormal"/>
        <w:spacing w:before="220"/>
        <w:ind w:firstLine="540"/>
        <w:jc w:val="both"/>
      </w:pPr>
      <w:r>
        <w:t xml:space="preserve">5. </w:t>
      </w:r>
      <w:proofErr w:type="gramStart"/>
      <w:r>
        <w:t xml:space="preserve">Затраты на осуществление функций технического заказчика определяются без учета затрат на осуществление функций строительного контроля, расходы на проведение которого определяются в соответствии с </w:t>
      </w:r>
      <w:hyperlink r:id="rId13">
        <w:r>
          <w:rPr>
            <w:color w:val="0000FF"/>
          </w:rPr>
          <w:t>постановлением</w:t>
        </w:r>
      </w:hyperlink>
      <w:r>
        <w:t xml:space="preserve"> Правительства Российской Федерации от 21 июня 2010 г. N 468 "О порядке проведения строительного контроля при осуществлении строительства, реконструкции и капитального ремонта объектов капитального строительства" (Собрание законодательства Российской Федерации, 2010, N 26, ст. 3365).</w:t>
      </w:r>
      <w:proofErr w:type="gramEnd"/>
    </w:p>
    <w:p w:rsidR="00EF5A32" w:rsidRDefault="00EF5A32">
      <w:pPr>
        <w:pStyle w:val="ConsPlusNormal"/>
        <w:spacing w:before="220"/>
        <w:ind w:firstLine="540"/>
        <w:jc w:val="both"/>
      </w:pPr>
      <w:r>
        <w:t>6. Затраты, связанные с осуществлением функций технического заказчика (например, на проведение профилактических и дезинфекционных мероприятий по предупреждению распространения новой коронавирусной инфекции среди работников строительной отрасли), дополнительно возникающие при осуществлении им таких функций, учитываются в главах 1, 9, 12 ССРСС согласно сметным нормативам, сведения о которых включены в федеральный реестр сметных нормативов.</w:t>
      </w:r>
    </w:p>
    <w:p w:rsidR="00EF5A32" w:rsidRDefault="00EF5A32">
      <w:pPr>
        <w:pStyle w:val="ConsPlusNormal"/>
        <w:spacing w:before="220"/>
        <w:ind w:firstLine="540"/>
        <w:jc w:val="both"/>
      </w:pPr>
      <w:bookmarkStart w:id="3" w:name="P51"/>
      <w:bookmarkEnd w:id="3"/>
      <w:r>
        <w:t xml:space="preserve">7. </w:t>
      </w:r>
      <w:proofErr w:type="gramStart"/>
      <w:r>
        <w:t xml:space="preserve">Численность работников технического заказчика без учета численности работников, выполняющих обязанности по осуществлению функций строительного контроля (далее - работники технического заказчика), определяется согласно показателям, приведенным в </w:t>
      </w:r>
      <w:hyperlink w:anchor="P189">
        <w:r>
          <w:rPr>
            <w:color w:val="0000FF"/>
          </w:rPr>
          <w:t>приложении N 2</w:t>
        </w:r>
      </w:hyperlink>
      <w:r>
        <w:t xml:space="preserve"> к Методике, исходя из величины сметной стоимости строительства объекта капитального строительства по итогам глав 1 - 9 и 12 ССРСС, определенной в уровне цен, сложившемся ко времени составления сметной документации (далее - текущий уровень цен</w:t>
      </w:r>
      <w:proofErr w:type="gramEnd"/>
      <w:r>
        <w:t xml:space="preserve">), и </w:t>
      </w:r>
      <w:proofErr w:type="gramStart"/>
      <w:r>
        <w:t>приведенной</w:t>
      </w:r>
      <w:proofErr w:type="gramEnd"/>
      <w:r>
        <w:t xml:space="preserve"> в уровень цен по состоянию на 1 января 2023 г., с округлением до целого числа, млн. рублей.</w:t>
      </w:r>
    </w:p>
    <w:p w:rsidR="00EF5A32" w:rsidRDefault="00EF5A32">
      <w:pPr>
        <w:pStyle w:val="ConsPlusNormal"/>
        <w:spacing w:before="220"/>
        <w:ind w:firstLine="540"/>
        <w:jc w:val="both"/>
      </w:pPr>
      <w:proofErr w:type="gramStart"/>
      <w:r>
        <w:t>Приведение сметной стоимости строительства, определенной по итогам глав 1 - 9 и 12 ССРСС в текущем уровне цен, к уровню цен по состоянию на 1 января 2023 г. осуществляется обратным счетом путем ее деления на индекс цен на продукцию (затраты, услуги) инвестиционного назначения по видам экономической деятельности (строительство), определяемый на основании официальной статистической информации, публикуемой Федеральной службой государственной статистики в соответствии</w:t>
      </w:r>
      <w:proofErr w:type="gramEnd"/>
      <w:r>
        <w:t xml:space="preserve"> с </w:t>
      </w:r>
      <w:hyperlink r:id="rId14">
        <w:r>
          <w:rPr>
            <w:color w:val="0000FF"/>
          </w:rPr>
          <w:t>подпунктом 5.1 пункта 5</w:t>
        </w:r>
      </w:hyperlink>
      <w:r>
        <w:t xml:space="preserve"> Положения о Федеральной службе государственной статистики, утвержденного постановлением Правительства Российской Федерации от 2 июня 2008 г. N 420, для соответствующего периода в целом по Российской Федерации (далее - индекс фактической инфляции). При этом величина индекса фактической инфляции определяется от последнего месяца квартала, предшествующего кварталу, в уровне цен которого выполняется определение сметной стоимости строительства, к последнему месяцу IV квартала 2022 г. (с округлением результата вычислений до четырех знаков после запятой).</w:t>
      </w:r>
    </w:p>
    <w:p w:rsidR="00EF5A32" w:rsidRDefault="00EF5A32">
      <w:pPr>
        <w:pStyle w:val="ConsPlusNormal"/>
        <w:spacing w:before="220"/>
        <w:ind w:firstLine="540"/>
        <w:jc w:val="both"/>
      </w:pPr>
      <w:r>
        <w:t>При сметной стоимости строительства свыше 10600 млн. рублей численность работников технического заказчика увеличивается на одного человека на каждые 1100 млн. рублей свыше указанной суммы.</w:t>
      </w:r>
    </w:p>
    <w:p w:rsidR="00EF5A32" w:rsidRDefault="00EF5A32">
      <w:pPr>
        <w:pStyle w:val="ConsPlusNormal"/>
        <w:spacing w:before="220"/>
        <w:ind w:firstLine="540"/>
        <w:jc w:val="both"/>
      </w:pPr>
      <w:r>
        <w:t xml:space="preserve">Численность работников технического заказчика включает доли участия всех категорий работников технического заказчика, за исключением обслуживающего персонала (водителей служебного автотранспорта, уборщиц, сторожевой охраны и тому подобных), затраты на содержание которых учитываются при расчете затрат в соответствии с </w:t>
      </w:r>
      <w:hyperlink w:anchor="P65">
        <w:r>
          <w:rPr>
            <w:color w:val="0000FF"/>
          </w:rPr>
          <w:t>пунктом 12</w:t>
        </w:r>
      </w:hyperlink>
      <w:r>
        <w:t xml:space="preserve"> Методики.</w:t>
      </w:r>
    </w:p>
    <w:p w:rsidR="00EF5A32" w:rsidRDefault="00EF5A32">
      <w:pPr>
        <w:pStyle w:val="ConsPlusNormal"/>
        <w:jc w:val="both"/>
      </w:pPr>
      <w:r>
        <w:t xml:space="preserve">(п. 7 в ред. </w:t>
      </w:r>
      <w:hyperlink r:id="rId15">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 xml:space="preserve">8. </w:t>
      </w:r>
      <w:proofErr w:type="gramStart"/>
      <w:r>
        <w:t xml:space="preserve">Численность работников технического заказчика по объектам, относящимся в соответствии со </w:t>
      </w:r>
      <w:hyperlink r:id="rId16">
        <w:r>
          <w:rPr>
            <w:color w:val="0000FF"/>
          </w:rPr>
          <w:t>статьей 48.1</w:t>
        </w:r>
      </w:hyperlink>
      <w:r>
        <w:t xml:space="preserve"> Градостроительного кодекса Российской Федерации к особо опасным, технически сложным и уникальным, по линейным объектам (за исключением реконструкции и капитального ремонта линейных объектов), а также в случаях, установленных </w:t>
      </w:r>
      <w:hyperlink r:id="rId17">
        <w:r>
          <w:rPr>
            <w:color w:val="0000FF"/>
          </w:rPr>
          <w:t>пунктом 5 части 3 статьи 41</w:t>
        </w:r>
      </w:hyperlink>
      <w:r>
        <w:t xml:space="preserve"> Градостроительного кодекса Российской Федерации, и в случаях, когда линейный объект не отвечает признакам сооружения в</w:t>
      </w:r>
      <w:proofErr w:type="gramEnd"/>
      <w:r>
        <w:t xml:space="preserve"> </w:t>
      </w:r>
      <w:proofErr w:type="gramStart"/>
      <w:r>
        <w:t xml:space="preserve">соответствии с </w:t>
      </w:r>
      <w:hyperlink r:id="rId18">
        <w:r>
          <w:rPr>
            <w:color w:val="0000FF"/>
          </w:rPr>
          <w:t>пунктом 23 части 2 статьи 2</w:t>
        </w:r>
      </w:hyperlink>
      <w:r>
        <w:t xml:space="preserve"> Федерального закона от 30 декабря 2009 г. N 384-ФЗ "Технический регламент о безопасности зданий и сооружений", рассчитывается как сумма численности работников технического заказчика, определенная согласно показателям, приведенным в </w:t>
      </w:r>
      <w:hyperlink w:anchor="P189">
        <w:r>
          <w:rPr>
            <w:color w:val="0000FF"/>
          </w:rPr>
          <w:t>приложении N 2</w:t>
        </w:r>
      </w:hyperlink>
      <w:r>
        <w:t xml:space="preserve"> к Методике, отдельно для итога сметной стоимости главы 2 ССРСС и для итога сметной стоимости по главам 1, 3 - 9 и</w:t>
      </w:r>
      <w:proofErr w:type="gramEnd"/>
      <w:r>
        <w:t xml:space="preserve"> 12 ССРСС в уровне цен по состоянию на 1 января 2023 г.</w:t>
      </w:r>
    </w:p>
    <w:p w:rsidR="00EF5A32" w:rsidRDefault="00EF5A32">
      <w:pPr>
        <w:pStyle w:val="ConsPlusNormal"/>
        <w:jc w:val="both"/>
      </w:pPr>
      <w:r>
        <w:t xml:space="preserve">(п. 8 в ред. </w:t>
      </w:r>
      <w:hyperlink r:id="rId19">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 xml:space="preserve">9. </w:t>
      </w:r>
      <w:proofErr w:type="gramStart"/>
      <w:r>
        <w:t xml:space="preserve">Численность работников технического заказчика линейного объекта, включающего в себя часть основного линейного объекта и объекта (объектов), не являющихся линейными, по решению застройщика допускается определять суммированием численности, принятой согласно </w:t>
      </w:r>
      <w:hyperlink w:anchor="P189">
        <w:r>
          <w:rPr>
            <w:color w:val="0000FF"/>
          </w:rPr>
          <w:t>Приложению N 2</w:t>
        </w:r>
      </w:hyperlink>
      <w:r>
        <w:t xml:space="preserve"> к Методике, определенной отдельно исходя из сметной стоимости основного линейного объекта, предусмотренной в главе 2 ССРСС, а также сметной стоимости объекта (объектов), не являющихся линейными, включенной в главу 2</w:t>
      </w:r>
      <w:proofErr w:type="gramEnd"/>
      <w:r>
        <w:t xml:space="preserve"> ССРСС, и общей сметной стоимости итогов по главам 1, 3 - 9 и 12 ССРСС в уровне цен по состоянию на 1 января 2023 г</w:t>
      </w:r>
      <w:proofErr w:type="gramStart"/>
      <w:r>
        <w:t>..</w:t>
      </w:r>
      <w:proofErr w:type="gramEnd"/>
    </w:p>
    <w:p w:rsidR="00EF5A32" w:rsidRDefault="00EF5A32">
      <w:pPr>
        <w:pStyle w:val="ConsPlusNormal"/>
        <w:jc w:val="both"/>
      </w:pPr>
      <w:r>
        <w:t xml:space="preserve">(в ред. </w:t>
      </w:r>
      <w:hyperlink r:id="rId20">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4" w:name="P60"/>
      <w:bookmarkEnd w:id="4"/>
      <w:r>
        <w:t xml:space="preserve">10. При наличии информации об осуществлении функций технического заказчика по объектам, расположенным в малообжитых труднодоступных местностях, или по нескольким объектам, расположенным в различных субъектах Российской Федерации, к численности, </w:t>
      </w:r>
      <w:r>
        <w:lastRenderedPageBreak/>
        <w:t xml:space="preserve">определенной в соответствии с </w:t>
      </w:r>
      <w:hyperlink w:anchor="P189">
        <w:r>
          <w:rPr>
            <w:color w:val="0000FF"/>
          </w:rPr>
          <w:t>Приложением N 2</w:t>
        </w:r>
      </w:hyperlink>
      <w:r>
        <w:t xml:space="preserve"> к Методике, применяется поправочный коэффициент в размере 1,6 с последующим округлением до ближайшего целого числа.</w:t>
      </w:r>
    </w:p>
    <w:p w:rsidR="00EF5A32" w:rsidRDefault="00EF5A32">
      <w:pPr>
        <w:pStyle w:val="ConsPlusNormal"/>
        <w:spacing w:before="220"/>
        <w:ind w:firstLine="540"/>
        <w:jc w:val="both"/>
      </w:pPr>
      <w:r>
        <w:t xml:space="preserve">11. </w:t>
      </w:r>
      <w:proofErr w:type="gramStart"/>
      <w:r>
        <w:t xml:space="preserve">Численность работников технического заказчика, определенная в соответствии с </w:t>
      </w:r>
      <w:hyperlink w:anchor="P51">
        <w:r>
          <w:rPr>
            <w:color w:val="0000FF"/>
          </w:rPr>
          <w:t>пунктами 7</w:t>
        </w:r>
      </w:hyperlink>
      <w:r>
        <w:t xml:space="preserve"> - </w:t>
      </w:r>
      <w:hyperlink w:anchor="P60">
        <w:r>
          <w:rPr>
            <w:color w:val="0000FF"/>
          </w:rPr>
          <w:t>10</w:t>
        </w:r>
      </w:hyperlink>
      <w:r>
        <w:t xml:space="preserve"> Методики и </w:t>
      </w:r>
      <w:hyperlink w:anchor="P189">
        <w:r>
          <w:rPr>
            <w:color w:val="0000FF"/>
          </w:rPr>
          <w:t>приложением N 2</w:t>
        </w:r>
      </w:hyperlink>
      <w:r>
        <w:t xml:space="preserve"> к Методике, является средней за месяц, рассчитанной с учетом общей продолжительности строительства объекта капитального строительства, но учитывает потребность в работниках технического заказчика на весь период выполнения ими функций технического заказчика (рекомендуемый перечень функций технического заказчика, используемый при расчете затрат на осуществление функций технического заказчика</w:t>
      </w:r>
      <w:proofErr w:type="gramEnd"/>
      <w:r>
        <w:t xml:space="preserve">, </w:t>
      </w:r>
      <w:proofErr w:type="gramStart"/>
      <w:r>
        <w:t>приведен</w:t>
      </w:r>
      <w:proofErr w:type="gramEnd"/>
      <w:r>
        <w:t xml:space="preserve"> в </w:t>
      </w:r>
      <w:hyperlink w:anchor="P131">
        <w:r>
          <w:rPr>
            <w:color w:val="0000FF"/>
          </w:rPr>
          <w:t>приложении N 1</w:t>
        </w:r>
      </w:hyperlink>
      <w:r>
        <w:t xml:space="preserve"> к Методике).</w:t>
      </w:r>
    </w:p>
    <w:p w:rsidR="00EF5A32" w:rsidRDefault="00EF5A32">
      <w:pPr>
        <w:pStyle w:val="ConsPlusNormal"/>
        <w:spacing w:before="220"/>
        <w:ind w:firstLine="540"/>
        <w:jc w:val="both"/>
      </w:pPr>
      <w:proofErr w:type="gramStart"/>
      <w:r>
        <w:t xml:space="preserve">Общие расходы на осуществление функций технического заказчика определяются исходя из продолжительности строительства объекта капитального строительства, указываемой в проекте организации строительства, с применением коэффициента в размере 1,2, учитывающего продолжительность осуществления техническим заказчиком функций технического заказчика (рекомендуемый перечень функций технического заказчика, используемый при расчете затрат на осуществление функций технического заказчика, приведен в </w:t>
      </w:r>
      <w:hyperlink w:anchor="P131">
        <w:r>
          <w:rPr>
            <w:color w:val="0000FF"/>
          </w:rPr>
          <w:t>приложении N 1</w:t>
        </w:r>
      </w:hyperlink>
      <w:r>
        <w:t xml:space="preserve"> к Методике), на предпроектной стадии, на этапах</w:t>
      </w:r>
      <w:proofErr w:type="gramEnd"/>
      <w:r>
        <w:t xml:space="preserve"> выполнения инженерных изысканий, осуществления архитектурно-строительного проектирования, а также функций, осуществляемых до ввода объекта капитального строительства в эксплуатацию.</w:t>
      </w:r>
    </w:p>
    <w:p w:rsidR="00EF5A32" w:rsidRDefault="00EF5A32">
      <w:pPr>
        <w:pStyle w:val="ConsPlusNormal"/>
        <w:spacing w:before="220"/>
        <w:ind w:firstLine="540"/>
        <w:jc w:val="both"/>
      </w:pPr>
      <w:r>
        <w:t>В случае, если техническим заказчиком принято решение об изменении сроков строительства объекта капитального строительства, указанного в проекте организации строительства, без изменения объемов и содержания работ, сумма затрат на осуществление функций технического заказчика не изменяется.</w:t>
      </w:r>
    </w:p>
    <w:p w:rsidR="00EF5A32" w:rsidRDefault="00EF5A32">
      <w:pPr>
        <w:pStyle w:val="ConsPlusNormal"/>
        <w:jc w:val="both"/>
      </w:pPr>
      <w:r>
        <w:t xml:space="preserve">(п. 11 в ред. </w:t>
      </w:r>
      <w:hyperlink r:id="rId21">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5" w:name="P65"/>
      <w:bookmarkEnd w:id="5"/>
      <w:r>
        <w:t xml:space="preserve">12. Перечень затрат на осуществление функций технического заказчика определяется и обосновывается расчетом в соответствии с </w:t>
      </w:r>
      <w:hyperlink w:anchor="P67">
        <w:r>
          <w:rPr>
            <w:color w:val="0000FF"/>
          </w:rPr>
          <w:t>пунктами 13</w:t>
        </w:r>
      </w:hyperlink>
      <w:r>
        <w:t xml:space="preserve"> - </w:t>
      </w:r>
      <w:hyperlink w:anchor="P115">
        <w:r>
          <w:rPr>
            <w:color w:val="0000FF"/>
          </w:rPr>
          <w:t>23</w:t>
        </w:r>
      </w:hyperlink>
      <w:r>
        <w:t xml:space="preserve"> Методики.</w:t>
      </w:r>
    </w:p>
    <w:p w:rsidR="00EF5A32" w:rsidRDefault="00EF5A32">
      <w:pPr>
        <w:pStyle w:val="ConsPlusNormal"/>
        <w:jc w:val="both"/>
      </w:pPr>
      <w:r>
        <w:t xml:space="preserve">(в ред. </w:t>
      </w:r>
      <w:hyperlink r:id="rId22">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6" w:name="P67"/>
      <w:bookmarkEnd w:id="6"/>
      <w:r>
        <w:t xml:space="preserve">13. Затраты на оплату труда определяются по расчету в соответствии с численностью работников технического заказчика, определенной на основании </w:t>
      </w:r>
      <w:hyperlink w:anchor="P51">
        <w:r>
          <w:rPr>
            <w:color w:val="0000FF"/>
          </w:rPr>
          <w:t>пунктов 7</w:t>
        </w:r>
      </w:hyperlink>
      <w:r>
        <w:t xml:space="preserve"> - </w:t>
      </w:r>
      <w:hyperlink w:anchor="P60">
        <w:r>
          <w:rPr>
            <w:color w:val="0000FF"/>
          </w:rPr>
          <w:t>10</w:t>
        </w:r>
      </w:hyperlink>
      <w:r>
        <w:t xml:space="preserve"> Методики, и размером средней заработной платы согласно штатному расписанию (при наличии). Средняя заработная плата работников технического заказчика определяется в размере, не превышающем произведение среднемесячного размера оплаты труда рабочего четвертого </w:t>
      </w:r>
      <w:proofErr w:type="gramStart"/>
      <w:r>
        <w:t>разряда</w:t>
      </w:r>
      <w:proofErr w:type="gramEnd"/>
      <w:r>
        <w:t xml:space="preserve"> на коэффициент приведения величины нормируемой заработной платы рабочего четвертого разряда к средней заработной плате работника технического заказчика, равный 1,4.</w:t>
      </w:r>
    </w:p>
    <w:p w:rsidR="00EF5A32" w:rsidRDefault="00EF5A32">
      <w:pPr>
        <w:pStyle w:val="ConsPlusNormal"/>
        <w:jc w:val="both"/>
      </w:pPr>
      <w:r>
        <w:t xml:space="preserve">(в ред. </w:t>
      </w:r>
      <w:hyperlink r:id="rId23">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7" w:name="P69"/>
      <w:bookmarkEnd w:id="7"/>
      <w:proofErr w:type="gramStart"/>
      <w:r>
        <w:t xml:space="preserve">Размер оплаты труда рабочего четвертого разряда рассчитывается как произведение размера оплаты труда рабочего первого разряда, занятого в строительной отрасли, установленного в соответствии с </w:t>
      </w:r>
      <w:hyperlink r:id="rId24">
        <w:r>
          <w:rPr>
            <w:color w:val="0000FF"/>
          </w:rPr>
          <w:t>Правилами</w:t>
        </w:r>
      </w:hyperlink>
      <w:r>
        <w:t xml:space="preserve"> мониторинга цен строительных ресурсов, утвержденными постановлением Правительства Российской Федерации от 23 декабря 2016 г. N 1452 (Собрание законодательства Российской Федерации, 2017, N 1, ст. 184; 2019, N 21, ст. 2566), на межразрядный коэффициент, равный 1,34.</w:t>
      </w:r>
      <w:proofErr w:type="gramEnd"/>
    </w:p>
    <w:p w:rsidR="00EF5A32" w:rsidRDefault="00EF5A32">
      <w:pPr>
        <w:pStyle w:val="ConsPlusNormal"/>
        <w:jc w:val="both"/>
      </w:pPr>
      <w:r>
        <w:t xml:space="preserve">(в ред. </w:t>
      </w:r>
      <w:hyperlink r:id="rId25">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 xml:space="preserve">14. </w:t>
      </w:r>
      <w:proofErr w:type="gramStart"/>
      <w:r>
        <w:t>Средняя заработная плата работников технического заказчика учитывает доплаты и надбавки к тарифным ставкам и окладам, носящие систематический характер и осуществляемые в соответствии с законодательством Российской Федерации за профессиональное мастерство, выслугу лет (стаж работы), вознаграждения без единовременных премий, выплаты, связанные с районным регулированием, единовременные поощрительные выплаты, ежегодные основные и дополнительные отпуска, процентную надбавку за непрерывный стаж работы в районах Крайнего Севера</w:t>
      </w:r>
      <w:proofErr w:type="gramEnd"/>
      <w:r>
        <w:t xml:space="preserve"> и приравненных к ним районам и другие выплаты при наличии действующих нормативных </w:t>
      </w:r>
      <w:r>
        <w:lastRenderedPageBreak/>
        <w:t>правовых актов, регламентирующих данную сферу.</w:t>
      </w:r>
    </w:p>
    <w:p w:rsidR="00EF5A32" w:rsidRDefault="00EF5A32">
      <w:pPr>
        <w:pStyle w:val="ConsPlusNormal"/>
        <w:spacing w:before="220"/>
        <w:ind w:firstLine="540"/>
        <w:jc w:val="both"/>
      </w:pPr>
      <w:bookmarkStart w:id="8" w:name="P72"/>
      <w:bookmarkEnd w:id="8"/>
      <w:r>
        <w:t xml:space="preserve">15. </w:t>
      </w:r>
      <w:proofErr w:type="gramStart"/>
      <w:r>
        <w:t>Пересчет средней заработной платы работников технического заказчика из уровня цен, в котором приведена опубликованная средняя начисленная заработная плата работников по категориям персонала и субъектам Российской Федерации, в уровень цен на дату составления расчета затрат на осуществление функций технического заказчика осуществляется с учетом индекса потребительских цен (коэффициент инфляции) в среднем за год, публикуемого Министерством экономического развития Российской Федерации, по строке "Индекс</w:t>
      </w:r>
      <w:proofErr w:type="gramEnd"/>
      <w:r>
        <w:t xml:space="preserve"> потребительских цен в среднем за год" на текущий год.</w:t>
      </w:r>
    </w:p>
    <w:p w:rsidR="00EF5A32" w:rsidRDefault="00EF5A32">
      <w:pPr>
        <w:pStyle w:val="ConsPlusNormal"/>
        <w:spacing w:before="220"/>
        <w:ind w:firstLine="540"/>
        <w:jc w:val="both"/>
      </w:pPr>
      <w:r>
        <w:t xml:space="preserve">16. При наличии информации о конкретном юридическом лице, осуществляющем функции технического заказчика по объекту, расходы на оплату труда могут определяться в соответствии с размером средней заработной платы согласно штатному расписанию (при наличии) и обоснованным долевым участием специалистов согласно их квалификации в пределах общей расчетной численности по объекту, согласованным с застройщиком. При этом средняя заработная плата работников такого технического заказчика не должна превышать среднюю заработную плату работников технического заказчика, определенную в соответствии с </w:t>
      </w:r>
      <w:hyperlink w:anchor="P67">
        <w:r>
          <w:rPr>
            <w:color w:val="0000FF"/>
          </w:rPr>
          <w:t>пунктами 13</w:t>
        </w:r>
      </w:hyperlink>
      <w:r>
        <w:t xml:space="preserve"> и </w:t>
      </w:r>
      <w:hyperlink w:anchor="P72">
        <w:r>
          <w:rPr>
            <w:color w:val="0000FF"/>
          </w:rPr>
          <w:t>15</w:t>
        </w:r>
      </w:hyperlink>
      <w:r>
        <w:t xml:space="preserve"> Методики.</w:t>
      </w:r>
    </w:p>
    <w:p w:rsidR="00EF5A32" w:rsidRDefault="00EF5A32">
      <w:pPr>
        <w:pStyle w:val="ConsPlusNormal"/>
        <w:jc w:val="both"/>
      </w:pPr>
      <w:r>
        <w:t xml:space="preserve">(в ред. </w:t>
      </w:r>
      <w:hyperlink r:id="rId26">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9" w:name="P75"/>
      <w:bookmarkEnd w:id="9"/>
      <w:r>
        <w:t xml:space="preserve">17. </w:t>
      </w:r>
      <w:proofErr w:type="gramStart"/>
      <w:r>
        <w:t xml:space="preserve">В случае отсутствия в федеральной государственной информационной системе ценообразования в строительстве, созданной в соответствии с </w:t>
      </w:r>
      <w:hyperlink r:id="rId27">
        <w:r>
          <w:rPr>
            <w:color w:val="0000FF"/>
          </w:rPr>
          <w:t>Положением</w:t>
        </w:r>
      </w:hyperlink>
      <w:r>
        <w:t xml:space="preserve"> о федеральной государственной информационной системе ценообразования в строительстве, утвержденным постановлением Правительства Российской Федерации от 23 сентября 2016 г. N 959, утвержденных среднемесячных размеров оплаты труда рабочего первого разряда, занятого в строительной отрасли, учитывающих отраслевую специфику, средняя заработная плата работников технического заказчика по объектам обороны</w:t>
      </w:r>
      <w:proofErr w:type="gramEnd"/>
      <w:r>
        <w:t xml:space="preserve"> </w:t>
      </w:r>
      <w:proofErr w:type="gramStart"/>
      <w:r>
        <w:t xml:space="preserve">и безопасности, линейным объектам, а также объектам, относящимся в соответствии со </w:t>
      </w:r>
      <w:hyperlink r:id="rId28">
        <w:r>
          <w:rPr>
            <w:color w:val="0000FF"/>
          </w:rPr>
          <w:t>статьей 48.1</w:t>
        </w:r>
      </w:hyperlink>
      <w:r>
        <w:t xml:space="preserve"> Градостроительного кодекса Российской Федерации к особо опасным, технически сложным и уникальным, по решению технического заказчика может определяться с учетом коэффициента, предусмотренного </w:t>
      </w:r>
      <w:hyperlink r:id="rId29">
        <w:r>
          <w:rPr>
            <w:color w:val="0000FF"/>
          </w:rPr>
          <w:t>пунктом 60.1</w:t>
        </w:r>
      </w:hyperlink>
      <w:r>
        <w:t xml:space="preserve"> Методики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w:t>
      </w:r>
      <w:proofErr w:type="gramEnd"/>
      <w:r>
        <w:t xml:space="preserve"> Федерации на территории Российской Федерации, утвержденной приказом Минстроя России от 4 августа 2020 г. N 421/</w:t>
      </w:r>
      <w:proofErr w:type="gramStart"/>
      <w:r>
        <w:t>пр</w:t>
      </w:r>
      <w:proofErr w:type="gramEnd"/>
      <w:r>
        <w:t xml:space="preserve"> (зарегистрирован Минюстом России 23 сентября 2020 г., регистрационный N 59986), с изменениями, внесенными приказом Минстроя России от 7 июля 2022 г. N 557/пр (зарегистрирован Минюстом России 31 августа 2022 г., регистрационный N 69860) (далее - Методика N 421/пр).</w:t>
      </w:r>
    </w:p>
    <w:p w:rsidR="00EF5A32" w:rsidRDefault="00EF5A32">
      <w:pPr>
        <w:pStyle w:val="ConsPlusNormal"/>
        <w:jc w:val="both"/>
      </w:pPr>
      <w:r>
        <w:t xml:space="preserve">(п. 17 в ред. </w:t>
      </w:r>
      <w:hyperlink r:id="rId30">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18. Затраты на налоги, сборы, иные обязательные отчисления и платежи определяются в следующем порядке:</w:t>
      </w:r>
    </w:p>
    <w:p w:rsidR="00EF5A32" w:rsidRDefault="00EF5A32">
      <w:pPr>
        <w:pStyle w:val="ConsPlusNormal"/>
        <w:spacing w:before="220"/>
        <w:ind w:firstLine="540"/>
        <w:jc w:val="both"/>
      </w:pPr>
      <w:proofErr w:type="gramStart"/>
      <w:r>
        <w:t xml:space="preserve">а) страховые взносы - по расчету в соответствии со </w:t>
      </w:r>
      <w:hyperlink r:id="rId31">
        <w:r>
          <w:rPr>
            <w:color w:val="0000FF"/>
          </w:rPr>
          <w:t>статьями 419</w:t>
        </w:r>
      </w:hyperlink>
      <w:r>
        <w:t xml:space="preserve">, </w:t>
      </w:r>
      <w:hyperlink r:id="rId32">
        <w:r>
          <w:rPr>
            <w:color w:val="0000FF"/>
          </w:rPr>
          <w:t>420</w:t>
        </w:r>
      </w:hyperlink>
      <w:r>
        <w:t xml:space="preserve">, </w:t>
      </w:r>
      <w:hyperlink r:id="rId33">
        <w:r>
          <w:rPr>
            <w:color w:val="0000FF"/>
          </w:rPr>
          <w:t>421</w:t>
        </w:r>
      </w:hyperlink>
      <w:r>
        <w:t xml:space="preserve">, </w:t>
      </w:r>
      <w:hyperlink r:id="rId34">
        <w:r>
          <w:rPr>
            <w:color w:val="0000FF"/>
          </w:rPr>
          <w:t>425</w:t>
        </w:r>
      </w:hyperlink>
      <w:r>
        <w:t xml:space="preserve">, </w:t>
      </w:r>
      <w:hyperlink r:id="rId35">
        <w:r>
          <w:rPr>
            <w:color w:val="0000FF"/>
          </w:rPr>
          <w:t>427</w:t>
        </w:r>
      </w:hyperlink>
      <w:r>
        <w:t xml:space="preserve">, </w:t>
      </w:r>
      <w:hyperlink r:id="rId36">
        <w:r>
          <w:rPr>
            <w:color w:val="0000FF"/>
          </w:rPr>
          <w:t>428</w:t>
        </w:r>
      </w:hyperlink>
      <w:r>
        <w:t xml:space="preserve">, </w:t>
      </w:r>
      <w:hyperlink r:id="rId37">
        <w:r>
          <w:rPr>
            <w:color w:val="0000FF"/>
          </w:rPr>
          <w:t>430</w:t>
        </w:r>
      </w:hyperlink>
      <w:r>
        <w:t xml:space="preserve"> и иными положениями Налогового кодекса Российской Федерации (Собрание законодательства Российской Федерации, 1998, N 31, ст. 3824; 2020, N 14, ст. 2032);</w:t>
      </w:r>
      <w:proofErr w:type="gramEnd"/>
    </w:p>
    <w:p w:rsidR="00EF5A32" w:rsidRDefault="00EF5A32">
      <w:pPr>
        <w:pStyle w:val="ConsPlusNormal"/>
        <w:spacing w:before="220"/>
        <w:ind w:firstLine="540"/>
        <w:jc w:val="both"/>
      </w:pPr>
      <w:r>
        <w:t xml:space="preserve">б) налог на имущество организаций - по расчету в соответствии со </w:t>
      </w:r>
      <w:hyperlink r:id="rId38">
        <w:r>
          <w:rPr>
            <w:color w:val="0000FF"/>
          </w:rPr>
          <w:t>статьями 373</w:t>
        </w:r>
      </w:hyperlink>
      <w:r>
        <w:t xml:space="preserve">, </w:t>
      </w:r>
      <w:hyperlink r:id="rId39">
        <w:r>
          <w:rPr>
            <w:color w:val="0000FF"/>
          </w:rPr>
          <w:t>374</w:t>
        </w:r>
      </w:hyperlink>
      <w:r>
        <w:t xml:space="preserve">, </w:t>
      </w:r>
      <w:hyperlink r:id="rId40">
        <w:r>
          <w:rPr>
            <w:color w:val="0000FF"/>
          </w:rPr>
          <w:t>380</w:t>
        </w:r>
      </w:hyperlink>
      <w:r>
        <w:t xml:space="preserve"> и иными положениями Налогового кодекса Российской Федерации;</w:t>
      </w:r>
    </w:p>
    <w:p w:rsidR="00EF5A32" w:rsidRDefault="00EF5A32">
      <w:pPr>
        <w:pStyle w:val="ConsPlusNormal"/>
        <w:spacing w:before="220"/>
        <w:ind w:firstLine="540"/>
        <w:jc w:val="both"/>
      </w:pPr>
      <w:r>
        <w:t xml:space="preserve">в) транспортный налог - по расчету в соответствии со </w:t>
      </w:r>
      <w:hyperlink r:id="rId41">
        <w:r>
          <w:rPr>
            <w:color w:val="0000FF"/>
          </w:rPr>
          <w:t>статьями 357</w:t>
        </w:r>
      </w:hyperlink>
      <w:r>
        <w:t xml:space="preserve">, </w:t>
      </w:r>
      <w:hyperlink r:id="rId42">
        <w:r>
          <w:rPr>
            <w:color w:val="0000FF"/>
          </w:rPr>
          <w:t>358</w:t>
        </w:r>
      </w:hyperlink>
      <w:r>
        <w:t xml:space="preserve">, </w:t>
      </w:r>
      <w:hyperlink r:id="rId43">
        <w:r>
          <w:rPr>
            <w:color w:val="0000FF"/>
          </w:rPr>
          <w:t>361</w:t>
        </w:r>
      </w:hyperlink>
      <w:r>
        <w:t xml:space="preserve"> и иными положениями Налогового кодекса Российской Федерации;</w:t>
      </w:r>
    </w:p>
    <w:p w:rsidR="00EF5A32" w:rsidRDefault="00EF5A32">
      <w:pPr>
        <w:pStyle w:val="ConsPlusNormal"/>
        <w:spacing w:before="220"/>
        <w:ind w:firstLine="540"/>
        <w:jc w:val="both"/>
      </w:pPr>
      <w:r>
        <w:t xml:space="preserve">г) земельный налог - по расчету в соответствии со </w:t>
      </w:r>
      <w:hyperlink r:id="rId44">
        <w:r>
          <w:rPr>
            <w:color w:val="0000FF"/>
          </w:rPr>
          <w:t>статьями 388</w:t>
        </w:r>
      </w:hyperlink>
      <w:r>
        <w:t xml:space="preserve">, </w:t>
      </w:r>
      <w:hyperlink r:id="rId45">
        <w:r>
          <w:rPr>
            <w:color w:val="0000FF"/>
          </w:rPr>
          <w:t>389</w:t>
        </w:r>
      </w:hyperlink>
      <w:r>
        <w:t xml:space="preserve">, </w:t>
      </w:r>
      <w:hyperlink r:id="rId46">
        <w:r>
          <w:rPr>
            <w:color w:val="0000FF"/>
          </w:rPr>
          <w:t>394</w:t>
        </w:r>
      </w:hyperlink>
      <w:r>
        <w:t xml:space="preserve"> и иными положениями Налогового кодекса Российской Федерации;</w:t>
      </w:r>
    </w:p>
    <w:p w:rsidR="00EF5A32" w:rsidRDefault="00EF5A32">
      <w:pPr>
        <w:pStyle w:val="ConsPlusNormal"/>
        <w:spacing w:before="220"/>
        <w:ind w:firstLine="540"/>
        <w:jc w:val="both"/>
      </w:pPr>
      <w:r>
        <w:lastRenderedPageBreak/>
        <w:t>д) прочие налоги и сборы - по расчету в соответствии с законодательством Российской Федерации о налогах и сборах, законодательством субъектов Российской Федерации о налогах и сборах, нормативными правовыми актами муниципальных образований о местных налогах и сборах с расшифровкой прочих налогов и сборов.</w:t>
      </w:r>
    </w:p>
    <w:p w:rsidR="00EF5A32" w:rsidRDefault="00EF5A32">
      <w:pPr>
        <w:pStyle w:val="ConsPlusNormal"/>
        <w:spacing w:before="220"/>
        <w:ind w:firstLine="540"/>
        <w:jc w:val="both"/>
      </w:pPr>
      <w:r>
        <w:t xml:space="preserve">19. </w:t>
      </w:r>
      <w:proofErr w:type="gramStart"/>
      <w:r>
        <w:t xml:space="preserve">Затраты на амортизацию основных средств и нематериальных активов определяются по расчету для зданий, сооружений, оборудования, транспортных и прочих основных средств в соответствии со </w:t>
      </w:r>
      <w:hyperlink r:id="rId47">
        <w:r>
          <w:rPr>
            <w:color w:val="0000FF"/>
          </w:rPr>
          <w:t>статьями 257</w:t>
        </w:r>
      </w:hyperlink>
      <w:r>
        <w:t xml:space="preserve">, </w:t>
      </w:r>
      <w:hyperlink r:id="rId48">
        <w:r>
          <w:rPr>
            <w:color w:val="0000FF"/>
          </w:rPr>
          <w:t>259</w:t>
        </w:r>
      </w:hyperlink>
      <w:r>
        <w:t xml:space="preserve"> Налогового кодекса Российской Федерации, </w:t>
      </w:r>
      <w:hyperlink r:id="rId49">
        <w:r>
          <w:rPr>
            <w:color w:val="0000FF"/>
          </w:rPr>
          <w:t>постановлением</w:t>
        </w:r>
      </w:hyperlink>
      <w:r>
        <w:t xml:space="preserve"> Правительства Российской Федерации от 1 января 2002 г. N 1 "О Классификации основных средств, включаемых в амортизационные группы" (Собрание законодательства Российской Федерации, 2002, N 1, ст. 52;</w:t>
      </w:r>
      <w:proofErr w:type="gramEnd"/>
      <w:r>
        <w:t xml:space="preserve"> </w:t>
      </w:r>
      <w:proofErr w:type="gramStart"/>
      <w:r>
        <w:t>2020, N 1, ст. 104).</w:t>
      </w:r>
      <w:proofErr w:type="gramEnd"/>
    </w:p>
    <w:p w:rsidR="00EF5A32" w:rsidRDefault="00EF5A32">
      <w:pPr>
        <w:pStyle w:val="ConsPlusNormal"/>
        <w:spacing w:before="220"/>
        <w:ind w:firstLine="540"/>
        <w:jc w:val="both"/>
      </w:pPr>
      <w:r>
        <w:t>20. Затраты на материальные и прочие расходы определяются в следующем порядке:</w:t>
      </w:r>
    </w:p>
    <w:p w:rsidR="00EF5A32" w:rsidRDefault="00EF5A32">
      <w:pPr>
        <w:pStyle w:val="ConsPlusNormal"/>
        <w:spacing w:before="220"/>
        <w:ind w:firstLine="540"/>
        <w:jc w:val="both"/>
      </w:pPr>
      <w:bookmarkStart w:id="10" w:name="P85"/>
      <w:bookmarkEnd w:id="10"/>
      <w:proofErr w:type="gramStart"/>
      <w:r>
        <w:t xml:space="preserve">а) командировочные расходы, а также расходы, связанные со служебными поездками работников, постоянная работа которых осуществляется в пути или имеет разъездной характер, - по расчету на основании численности работников технического заказчика в соответствии со </w:t>
      </w:r>
      <w:hyperlink r:id="rId50">
        <w:r>
          <w:rPr>
            <w:color w:val="0000FF"/>
          </w:rPr>
          <w:t>статьями 168</w:t>
        </w:r>
      </w:hyperlink>
      <w:r>
        <w:t xml:space="preserve">, </w:t>
      </w:r>
      <w:hyperlink r:id="rId51">
        <w:r>
          <w:rPr>
            <w:color w:val="0000FF"/>
          </w:rPr>
          <w:t>168.1</w:t>
        </w:r>
      </w:hyperlink>
      <w:r>
        <w:t xml:space="preserve"> Трудового кодекса Российской Федерации, </w:t>
      </w:r>
      <w:hyperlink r:id="rId52">
        <w:r>
          <w:rPr>
            <w:color w:val="0000FF"/>
          </w:rPr>
          <w:t>постановлением</w:t>
        </w:r>
      </w:hyperlink>
      <w:r>
        <w:t xml:space="preserve"> Правительства Российской Федерации от 2 октября 2002 г. N 729 "О размерах возмещения расходов, связанных со служебными командировками на территории</w:t>
      </w:r>
      <w:proofErr w:type="gramEnd"/>
      <w:r>
        <w:t xml:space="preserve"> Российской Федерации, работникам, заключившим трудовой договор о работе в федеральных государственных органах, работникам государственных внебюджетных фондов Российской Федерации, федеральных государственных учреждений" (Собрание законодательства Российской Федерации, 2002, N 40, ст. 3939; </w:t>
      </w:r>
      <w:proofErr w:type="gramStart"/>
      <w:r>
        <w:t xml:space="preserve">2016, N 12, ст. 1656), </w:t>
      </w:r>
      <w:hyperlink r:id="rId53">
        <w:r>
          <w:rPr>
            <w:color w:val="0000FF"/>
          </w:rPr>
          <w:t>постановлением</w:t>
        </w:r>
      </w:hyperlink>
      <w:r>
        <w:t xml:space="preserve"> Правительства Российской Федерации от 26 декабря 2005 г. N 812 "О размере и порядке выплаты суточных в иностранной валюте и надбавок к суточным в иностранной валюте при служебных командировках на территории иностранных государств работников, заключивших трудовой договор о работе в федеральных государственных органах, работников государственных внебюджетных фондов Российской Федерации, федеральных государственных учреждений" (Собрание законодательства</w:t>
      </w:r>
      <w:proofErr w:type="gramEnd"/>
      <w:r>
        <w:t xml:space="preserve"> </w:t>
      </w:r>
      <w:proofErr w:type="gramStart"/>
      <w:r>
        <w:t xml:space="preserve">Российской Федерации, 2006, N 2, ст. 187; 2019, N 30, ст. 4319), </w:t>
      </w:r>
      <w:hyperlink r:id="rId54">
        <w:r>
          <w:rPr>
            <w:color w:val="0000FF"/>
          </w:rPr>
          <w:t>постановлением</w:t>
        </w:r>
      </w:hyperlink>
      <w:r>
        <w:t xml:space="preserve"> Правительства Российской Федерации от 13 октября 2008 г. N 749 "Об особенностях направления работников в служебные командировки" (Собрание законодательства Российской Федерации, 2008, N 42, ст. 4821; 2015, N 31, ст. 4701).</w:t>
      </w:r>
      <w:proofErr w:type="gramEnd"/>
    </w:p>
    <w:p w:rsidR="00EF5A32" w:rsidRDefault="00EF5A32">
      <w:pPr>
        <w:pStyle w:val="ConsPlusNormal"/>
        <w:spacing w:before="220"/>
        <w:ind w:firstLine="540"/>
        <w:jc w:val="both"/>
      </w:pPr>
      <w:r>
        <w:t xml:space="preserve">Место расположения заказчика рекомендуется выбирать преимущественно в крупном населенном пункте, находящемся вблизи объекта строительства. В отдельных случаях при обосновании в проекте организации строительства (далее - </w:t>
      </w:r>
      <w:proofErr w:type="gramStart"/>
      <w:r>
        <w:t>ПОС</w:t>
      </w:r>
      <w:proofErr w:type="gramEnd"/>
      <w:r>
        <w:t>) в расчете может быть указан иной населенный пункт. При этом потребность в командировках должна быть экономически обоснована;</w:t>
      </w:r>
    </w:p>
    <w:p w:rsidR="00EF5A32" w:rsidRDefault="00EF5A32">
      <w:pPr>
        <w:pStyle w:val="ConsPlusNormal"/>
        <w:spacing w:before="220"/>
        <w:ind w:firstLine="540"/>
        <w:jc w:val="both"/>
      </w:pPr>
      <w:bookmarkStart w:id="11" w:name="P87"/>
      <w:bookmarkEnd w:id="11"/>
      <w:proofErr w:type="gramStart"/>
      <w:r>
        <w:t>б) арендная плата и содержание служебного легкового автотранспорта - по расчету исходя из численности работников технического заказчика: на каждый интервал от 1 до 15 человек (включительно) - учитывается 1 (один) автомобиль (в том числе затраты на оплату труда водителей с обязательными начислениями страховых взносов, горюче-смазочные материалы, запасные части и оплата парковочных мест), при этом уровень комфортности устанавливается заказчиком;</w:t>
      </w:r>
      <w:proofErr w:type="gramEnd"/>
    </w:p>
    <w:p w:rsidR="00EF5A32" w:rsidRDefault="00EF5A32">
      <w:pPr>
        <w:pStyle w:val="ConsPlusNormal"/>
        <w:jc w:val="both"/>
      </w:pPr>
      <w:r>
        <w:t xml:space="preserve">(в ред. </w:t>
      </w:r>
      <w:hyperlink r:id="rId55">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12" w:name="P89"/>
      <w:bookmarkEnd w:id="12"/>
      <w:r>
        <w:t>в) арендная плата и содержание зданий и помещений (в том числе оборудованных мебелью), включая оплату коммунальных услуг, - по расчету на основании данных об арендной плате с учетом расходов на коммунальные услуги.</w:t>
      </w:r>
    </w:p>
    <w:p w:rsidR="00EF5A32" w:rsidRDefault="00EF5A32">
      <w:pPr>
        <w:pStyle w:val="ConsPlusNormal"/>
        <w:spacing w:before="220"/>
        <w:ind w:firstLine="540"/>
        <w:jc w:val="both"/>
      </w:pPr>
      <w:r>
        <w:t xml:space="preserve">Общая площадь арендуемых зданий и помещений определяется произведением численности работников технического заказчика, величины площади рабочего места, приходящегося на одного работника технического заказчика, и коэффициента 1,2, учитывающего отношение общей площади арендуемых зданий и помещений к площади таких зданий и </w:t>
      </w:r>
      <w:r>
        <w:lastRenderedPageBreak/>
        <w:t>помещений, приходящейся на рабочие места.</w:t>
      </w:r>
    </w:p>
    <w:p w:rsidR="00EF5A32" w:rsidRDefault="00EF5A32">
      <w:pPr>
        <w:pStyle w:val="ConsPlusNormal"/>
        <w:spacing w:before="220"/>
        <w:ind w:firstLine="540"/>
        <w:jc w:val="both"/>
      </w:pPr>
      <w:proofErr w:type="gramStart"/>
      <w:r>
        <w:t xml:space="preserve">Площадь на одно постоянное рабочее место пользователей персональных компьютеров установлена в </w:t>
      </w:r>
      <w:hyperlink r:id="rId56">
        <w:r>
          <w:rPr>
            <w:color w:val="0000FF"/>
          </w:rPr>
          <w:t>пункте 249</w:t>
        </w:r>
      </w:hyperlink>
      <w:r>
        <w:t xml:space="preserve"> санитарных правил СП 2.2.3670-20 "Санитарно-эпидемиологические требования к условиям труда", утвержденных постановлением Главного государственного санитарного врача Российской Федерации от 2 декабря 2020 г. N 40 (зарегистрирован Министерством юстиции Российской Федерации 29 декабря 2020 г., регистрационный N 61893) &lt;1&gt;.</w:t>
      </w:r>
      <w:proofErr w:type="gramEnd"/>
    </w:p>
    <w:p w:rsidR="00EF5A32" w:rsidRDefault="00EF5A32">
      <w:pPr>
        <w:pStyle w:val="ConsPlusNormal"/>
        <w:jc w:val="both"/>
      </w:pPr>
      <w:r>
        <w:t xml:space="preserve">(пп. "в" в ред. </w:t>
      </w:r>
      <w:hyperlink r:id="rId57">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w:t>
      </w:r>
    </w:p>
    <w:p w:rsidR="00EF5A32" w:rsidRDefault="00EF5A32">
      <w:pPr>
        <w:pStyle w:val="ConsPlusNormal"/>
        <w:spacing w:before="220"/>
        <w:ind w:firstLine="540"/>
        <w:jc w:val="both"/>
      </w:pPr>
      <w:r>
        <w:t>&lt;1&gt; Срок действия ограничен 1 января 2027 г.</w:t>
      </w:r>
    </w:p>
    <w:p w:rsidR="00EF5A32" w:rsidRDefault="00EF5A32">
      <w:pPr>
        <w:pStyle w:val="ConsPlusNormal"/>
        <w:ind w:firstLine="540"/>
        <w:jc w:val="both"/>
      </w:pPr>
    </w:p>
    <w:p w:rsidR="00EF5A32" w:rsidRDefault="00EF5A32">
      <w:pPr>
        <w:pStyle w:val="ConsPlusNormal"/>
        <w:ind w:firstLine="540"/>
        <w:jc w:val="both"/>
      </w:pPr>
      <w:r>
        <w:t xml:space="preserve">г) повышение квалификации кадров - по расчету в соответствии со </w:t>
      </w:r>
      <w:hyperlink r:id="rId58">
        <w:r>
          <w:rPr>
            <w:color w:val="0000FF"/>
          </w:rPr>
          <w:t>статьей 196</w:t>
        </w:r>
      </w:hyperlink>
      <w:r>
        <w:t xml:space="preserve"> Трудового кодекса Российской Федерации, </w:t>
      </w:r>
      <w:hyperlink r:id="rId59">
        <w:r>
          <w:rPr>
            <w:color w:val="0000FF"/>
          </w:rPr>
          <w:t>приказом</w:t>
        </w:r>
      </w:hyperlink>
      <w:r>
        <w:t xml:space="preserve"> Минобрнауки России от 1 июля 2013 г. N 499 "Об утверждении Порядка организации и осуществления образовательной деятельности по дополнительным профессиональным программам" (зарегистрирован Министерством юстиции Российской Федерации 20 августа 2013 г., регистрационный N 29444);</w:t>
      </w:r>
    </w:p>
    <w:p w:rsidR="00EF5A32" w:rsidRDefault="00EF5A32">
      <w:pPr>
        <w:pStyle w:val="ConsPlusNormal"/>
        <w:spacing w:before="220"/>
        <w:ind w:firstLine="540"/>
        <w:jc w:val="both"/>
      </w:pPr>
      <w:r>
        <w:t>д) приобретение (арендная плата) оргтехники, ее обслуживание - по расчету на основании численности работников технического заказчика с учетом положенных норм на обеспечение функций технического заказчика, утвержденных застройщиком;</w:t>
      </w:r>
    </w:p>
    <w:p w:rsidR="00EF5A32" w:rsidRDefault="00EF5A32">
      <w:pPr>
        <w:pStyle w:val="ConsPlusNormal"/>
        <w:spacing w:before="220"/>
        <w:ind w:firstLine="540"/>
        <w:jc w:val="both"/>
      </w:pPr>
      <w:r>
        <w:t>е) приобретение мебели - по расчету на основании численности работников технического заказчика с учетом положенных норм на обеспечение функций технического заказчика, утвержденных застройщиком;</w:t>
      </w:r>
    </w:p>
    <w:p w:rsidR="00EF5A32" w:rsidRDefault="00EF5A32">
      <w:pPr>
        <w:pStyle w:val="ConsPlusNormal"/>
        <w:spacing w:before="220"/>
        <w:ind w:firstLine="540"/>
        <w:jc w:val="both"/>
      </w:pPr>
      <w:r>
        <w:t>ж) канцелярские товары - по расчету на основании численности работников технического заказчика с учетом положенных норм на обеспечение функций технического заказчика, утвержденных застройщиком;</w:t>
      </w:r>
    </w:p>
    <w:p w:rsidR="00EF5A32" w:rsidRDefault="00EF5A32">
      <w:pPr>
        <w:pStyle w:val="ConsPlusNormal"/>
        <w:spacing w:before="220"/>
        <w:ind w:firstLine="540"/>
        <w:jc w:val="both"/>
      </w:pPr>
      <w:r>
        <w:t>з) приобретение права на использование программ для ЭВМ и баз данных (программных средств и информационных продуктов) - по расчету на основании численности работников технического заказчика с учетом положенных норм на обеспечение функций технического заказчика, утвержденных застройщиком;</w:t>
      </w:r>
    </w:p>
    <w:p w:rsidR="00EF5A32" w:rsidRDefault="00EF5A32">
      <w:pPr>
        <w:pStyle w:val="ConsPlusNormal"/>
        <w:spacing w:before="220"/>
        <w:ind w:firstLine="540"/>
        <w:jc w:val="both"/>
      </w:pPr>
      <w:r>
        <w:t>и) приобретение спецодежды - по расчету на основании численности работников технического заказчика (в том числе для руководящих и инженерно-технических работников) с учетом положенных норм на обеспечение функций технического заказчика, утвержденных застройщиком;</w:t>
      </w:r>
    </w:p>
    <w:p w:rsidR="00EF5A32" w:rsidRDefault="00EF5A32">
      <w:pPr>
        <w:pStyle w:val="ConsPlusNormal"/>
        <w:spacing w:before="220"/>
        <w:ind w:firstLine="540"/>
        <w:jc w:val="both"/>
      </w:pPr>
      <w:r>
        <w:t xml:space="preserve">к) охрана зданий и помещений - по расчету, исходя из общей площади зданий и (или) помещений, определенной в соответствии с </w:t>
      </w:r>
      <w:hyperlink w:anchor="P89">
        <w:r>
          <w:rPr>
            <w:color w:val="0000FF"/>
          </w:rPr>
          <w:t>подпунктом "в"</w:t>
        </w:r>
      </w:hyperlink>
      <w:r>
        <w:t xml:space="preserve"> настоящего пункта. Общее количество мест, через которые осуществляется доступ в соответствии с пропускным режимом, может приниматься по данным технического заказчика, согласованным с застройщиком;</w:t>
      </w:r>
    </w:p>
    <w:p w:rsidR="00EF5A32" w:rsidRDefault="00EF5A32">
      <w:pPr>
        <w:pStyle w:val="ConsPlusNormal"/>
        <w:jc w:val="both"/>
      </w:pPr>
      <w:r>
        <w:t xml:space="preserve">(пп. "к" в ред. </w:t>
      </w:r>
      <w:hyperlink r:id="rId60">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13" w:name="P104"/>
      <w:bookmarkEnd w:id="13"/>
      <w:r>
        <w:t>л) услуги связи и интернет - по расчету на основании численности работников технического заказчика с учетом положенных норм на обеспечение функций технического заказчика, утвержденных застройщиком;</w:t>
      </w:r>
    </w:p>
    <w:p w:rsidR="00EF5A32" w:rsidRDefault="00EF5A32">
      <w:pPr>
        <w:pStyle w:val="ConsPlusNormal"/>
        <w:spacing w:before="220"/>
        <w:ind w:firstLine="540"/>
        <w:jc w:val="both"/>
      </w:pPr>
      <w:proofErr w:type="gramStart"/>
      <w:r>
        <w:t xml:space="preserve">м) прочие расходы (затраты на оплату государственных пошлин, рекламу, научные исследования, членство в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проведение подрядных торгов и иные </w:t>
      </w:r>
      <w:r>
        <w:lastRenderedPageBreak/>
        <w:t xml:space="preserve">прочие расходы) - в размере не более 5% от суммы расходов, указанных в </w:t>
      </w:r>
      <w:hyperlink w:anchor="P85">
        <w:r>
          <w:rPr>
            <w:color w:val="0000FF"/>
          </w:rPr>
          <w:t>подпунктах "а"</w:t>
        </w:r>
      </w:hyperlink>
      <w:r>
        <w:t xml:space="preserve"> - </w:t>
      </w:r>
      <w:hyperlink w:anchor="P104">
        <w:r>
          <w:rPr>
            <w:color w:val="0000FF"/>
          </w:rPr>
          <w:t>"л"</w:t>
        </w:r>
      </w:hyperlink>
      <w:r>
        <w:t xml:space="preserve"> настоящего пункта Методики;</w:t>
      </w:r>
      <w:proofErr w:type="gramEnd"/>
    </w:p>
    <w:p w:rsidR="00EF5A32" w:rsidRDefault="00EF5A32">
      <w:pPr>
        <w:pStyle w:val="ConsPlusNormal"/>
        <w:spacing w:before="220"/>
        <w:ind w:firstLine="540"/>
        <w:jc w:val="both"/>
      </w:pPr>
      <w:r>
        <w:t xml:space="preserve">н) затраты, связанные с премированием работников технического заказчика за досрочный ввод в эксплуатацию построенного объекта - в соответствии с лимитом затрат путем деления суммарных расходов на оплату труда, предусмотренных </w:t>
      </w:r>
      <w:hyperlink w:anchor="P67">
        <w:r>
          <w:rPr>
            <w:color w:val="0000FF"/>
          </w:rPr>
          <w:t>пунктами 13</w:t>
        </w:r>
      </w:hyperlink>
      <w:r>
        <w:t xml:space="preserve"> - </w:t>
      </w:r>
      <w:hyperlink w:anchor="P75">
        <w:r>
          <w:rPr>
            <w:color w:val="0000FF"/>
          </w:rPr>
          <w:t>17</w:t>
        </w:r>
      </w:hyperlink>
      <w:r>
        <w:t xml:space="preserve"> настоящей Методики, на 12 в случаях, когда сроки продолжительности строительства в соответствии с графиком производства работ, разрабатываемом в </w:t>
      </w:r>
      <w:proofErr w:type="gramStart"/>
      <w:r>
        <w:t>ПОС</w:t>
      </w:r>
      <w:proofErr w:type="gramEnd"/>
      <w:r>
        <w:t xml:space="preserve"> в составе проектной документации по объекту, не превышают рекомендуемые нормативные сроки строительства таких объектов согласно документам в области стандартизации, и срок исполнения таких контрактов сокращен не менее чем на 5 процентов от продолжительности, установленной в </w:t>
      </w:r>
      <w:proofErr w:type="gramStart"/>
      <w:r>
        <w:t>ПОС</w:t>
      </w:r>
      <w:proofErr w:type="gramEnd"/>
      <w:r>
        <w:t>;</w:t>
      </w:r>
    </w:p>
    <w:p w:rsidR="00EF5A32" w:rsidRDefault="00EF5A32">
      <w:pPr>
        <w:pStyle w:val="ConsPlusNormal"/>
        <w:jc w:val="both"/>
      </w:pPr>
      <w:r>
        <w:t xml:space="preserve">(в ред. </w:t>
      </w:r>
      <w:hyperlink r:id="rId61">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bookmarkStart w:id="14" w:name="P108"/>
      <w:bookmarkEnd w:id="14"/>
      <w:proofErr w:type="gramStart"/>
      <w:r>
        <w:t xml:space="preserve">о) надбавка за секретность для работников технического заказчика, допущенных к государственной тайне на постоянной основе, - по расчету, исходя из численности таких работников и размера тарифной ставки работников технического заказчика, допущенных к государственной тайне на постоянной основе, в соответствии с </w:t>
      </w:r>
      <w:hyperlink r:id="rId62">
        <w:r>
          <w:rPr>
            <w:color w:val="0000FF"/>
          </w:rPr>
          <w:t>постановлением</w:t>
        </w:r>
      </w:hyperlink>
      <w:r>
        <w:t xml:space="preserve"> Правительства Российской Федерации от 18 сентября 2006 г. N 573 "О предоставлении социальных гарантий гражданам, допущенным к государственной тайне на</w:t>
      </w:r>
      <w:proofErr w:type="gramEnd"/>
      <w:r>
        <w:t xml:space="preserve"> постоянной основе, и сотрудникам структурных подразделений по защите государственной тайны".</w:t>
      </w:r>
    </w:p>
    <w:p w:rsidR="00EF5A32" w:rsidRDefault="00EF5A32">
      <w:pPr>
        <w:pStyle w:val="ConsPlusNormal"/>
        <w:spacing w:before="220"/>
        <w:ind w:firstLine="540"/>
        <w:jc w:val="both"/>
      </w:pPr>
      <w:proofErr w:type="gramStart"/>
      <w:r>
        <w:t>Для целей определения затрат на осуществление функций технического заказчика в соответствии с Методикой размер тарифной ставки работников технического заказчика, допущенных к государственной тайне на постоянной основе, учитываемый при расчете средней заработной платы таких работников, определяется как произведение величины прожиточного минимума для трудоспособного населения, установленного в соответствующем субъекте Российской Федерации, коэффициента индексации, установленного отраслевым соглашением, заключенным на федеральном уровне социального партнерства</w:t>
      </w:r>
      <w:proofErr w:type="gramEnd"/>
      <w:r>
        <w:t xml:space="preserve"> и предусмотренным </w:t>
      </w:r>
      <w:hyperlink r:id="rId63">
        <w:r>
          <w:rPr>
            <w:color w:val="0000FF"/>
          </w:rPr>
          <w:t>статьей 45</w:t>
        </w:r>
      </w:hyperlink>
      <w:r>
        <w:t xml:space="preserve"> Трудового кодекса Российской Федерации, и коэффициентов, предусмотренных </w:t>
      </w:r>
      <w:hyperlink w:anchor="P67">
        <w:r>
          <w:rPr>
            <w:color w:val="0000FF"/>
          </w:rPr>
          <w:t>абзацами первым</w:t>
        </w:r>
      </w:hyperlink>
      <w:r>
        <w:t xml:space="preserve"> и </w:t>
      </w:r>
      <w:hyperlink w:anchor="P69">
        <w:r>
          <w:rPr>
            <w:color w:val="0000FF"/>
          </w:rPr>
          <w:t>вторым пункта 13</w:t>
        </w:r>
      </w:hyperlink>
      <w:r>
        <w:t xml:space="preserve"> Методики. В случае, предусмотренном </w:t>
      </w:r>
      <w:hyperlink w:anchor="P75">
        <w:r>
          <w:rPr>
            <w:color w:val="0000FF"/>
          </w:rPr>
          <w:t>пунктом 17</w:t>
        </w:r>
      </w:hyperlink>
      <w:r>
        <w:t xml:space="preserve"> Методики, дополнительно учитывается коэффициент, предусмотренный </w:t>
      </w:r>
      <w:hyperlink r:id="rId64">
        <w:r>
          <w:rPr>
            <w:color w:val="0000FF"/>
          </w:rPr>
          <w:t>пунктом 60.1</w:t>
        </w:r>
      </w:hyperlink>
      <w:r>
        <w:t xml:space="preserve"> Методики N 421/</w:t>
      </w:r>
      <w:proofErr w:type="gramStart"/>
      <w:r>
        <w:t>пр</w:t>
      </w:r>
      <w:proofErr w:type="gramEnd"/>
      <w:r>
        <w:t>;</w:t>
      </w:r>
    </w:p>
    <w:p w:rsidR="00EF5A32" w:rsidRDefault="00EF5A32">
      <w:pPr>
        <w:pStyle w:val="ConsPlusNormal"/>
        <w:jc w:val="both"/>
      </w:pPr>
      <w:r>
        <w:t xml:space="preserve">(пп. "о" введен </w:t>
      </w:r>
      <w:hyperlink r:id="rId65">
        <w:r>
          <w:rPr>
            <w:color w:val="0000FF"/>
          </w:rPr>
          <w:t>Приказом</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proofErr w:type="gramStart"/>
      <w:r>
        <w:t>п) расходы, связанные с размещением режимного помещения и его оборудованием, содержанием сотрудников режимно-секретного подразделения, в случае строительства объекта капитального строительства с установленной степенью режима секретности, - по расчету, при этом численность сотрудников режимно-секретного подразделения устанавливается застройщиком (техническим заказчиком) в соответствии с законодательством о защите государственной тайны.</w:t>
      </w:r>
      <w:proofErr w:type="gramEnd"/>
      <w:r>
        <w:t xml:space="preserve"> Оплата труда сотрудников режимно-секретного подразделения определяется в соответствии с </w:t>
      </w:r>
      <w:hyperlink w:anchor="P67">
        <w:r>
          <w:rPr>
            <w:color w:val="0000FF"/>
          </w:rPr>
          <w:t>пунктами 13</w:t>
        </w:r>
      </w:hyperlink>
      <w:r>
        <w:t xml:space="preserve"> - </w:t>
      </w:r>
      <w:hyperlink w:anchor="P75">
        <w:r>
          <w:rPr>
            <w:color w:val="0000FF"/>
          </w:rPr>
          <w:t>17</w:t>
        </w:r>
      </w:hyperlink>
      <w:r>
        <w:t xml:space="preserve"> и </w:t>
      </w:r>
      <w:hyperlink w:anchor="P108">
        <w:r>
          <w:rPr>
            <w:color w:val="0000FF"/>
          </w:rPr>
          <w:t>подпунктом "о" пункта 20</w:t>
        </w:r>
      </w:hyperlink>
      <w:r>
        <w:t xml:space="preserve"> Методики.</w:t>
      </w:r>
    </w:p>
    <w:p w:rsidR="00EF5A32" w:rsidRDefault="00EF5A32">
      <w:pPr>
        <w:pStyle w:val="ConsPlusNormal"/>
        <w:jc w:val="both"/>
      </w:pPr>
      <w:r>
        <w:t xml:space="preserve">(пп. "п" введен </w:t>
      </w:r>
      <w:hyperlink r:id="rId66">
        <w:r>
          <w:rPr>
            <w:color w:val="0000FF"/>
          </w:rPr>
          <w:t>Приказом</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 xml:space="preserve">21. </w:t>
      </w:r>
      <w:proofErr w:type="gramStart"/>
      <w:r>
        <w:t xml:space="preserve">Расчет затрат, указанных в </w:t>
      </w:r>
      <w:hyperlink w:anchor="P87">
        <w:r>
          <w:rPr>
            <w:color w:val="0000FF"/>
          </w:rPr>
          <w:t>подпунктах "б"</w:t>
        </w:r>
      </w:hyperlink>
      <w:r>
        <w:t xml:space="preserve"> - </w:t>
      </w:r>
      <w:hyperlink w:anchor="P104">
        <w:r>
          <w:rPr>
            <w:color w:val="0000FF"/>
          </w:rPr>
          <w:t>"л" пункта 20</w:t>
        </w:r>
      </w:hyperlink>
      <w:r>
        <w:t xml:space="preserve"> Методики, выполняется с учетом результатов согласованного застройщиком конъюнктурного анализа текущих цен на основании коммерческих предложений, прайс-листов производителей и (или) поставщиков и других документов, содержащих информацию о стоимости товаров и услуг, в том числе информации о результатах государственных закупок в соответствии с требованиями Федерального </w:t>
      </w:r>
      <w:hyperlink r:id="rId67">
        <w:r>
          <w:rPr>
            <w:color w:val="0000FF"/>
          </w:rPr>
          <w:t>закона</w:t>
        </w:r>
      </w:hyperlink>
      <w:r>
        <w:t xml:space="preserve"> от 18 июля 2011 г. N 223-ФЗ</w:t>
      </w:r>
      <w:proofErr w:type="gramEnd"/>
      <w:r>
        <w:t xml:space="preserve"> "О закупках товаров, работ, услуг отдельными видами юридических лиц" (Собрание законодательства Российской Федерации, 2011, N 30, ст. 4571; официальный интернет-портал правовой информации http://www.pravo.gov.ru, 24 апреля 2020 г., N 0001202004240023), Федерального </w:t>
      </w:r>
      <w:hyperlink r:id="rId68">
        <w:r>
          <w:rPr>
            <w:color w:val="0000FF"/>
          </w:rPr>
          <w:t>закона</w:t>
        </w:r>
      </w:hyperlink>
      <w:r>
        <w:t xml:space="preserve"> от 5 апреля 2013 г.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w:t>
      </w:r>
      <w:proofErr w:type="gramStart"/>
      <w:r>
        <w:t xml:space="preserve">официальный интернет-портал правовой информации http://www.pravo.gov.ru, 24 апреля 2020 г., N 0001202004240023), </w:t>
      </w:r>
      <w:hyperlink r:id="rId69">
        <w:r>
          <w:rPr>
            <w:color w:val="0000FF"/>
          </w:rPr>
          <w:t>постановления</w:t>
        </w:r>
      </w:hyperlink>
      <w:r>
        <w:t xml:space="preserve"> Правительства Российской Федерации от 2 сентября 2015 г. </w:t>
      </w:r>
      <w:r>
        <w:lastRenderedPageBreak/>
        <w:t>N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 (Собрание законодательства Российской Федерации, 2015, N 37, ст. 5141;</w:t>
      </w:r>
      <w:proofErr w:type="gramEnd"/>
      <w:r>
        <w:t xml:space="preserve"> </w:t>
      </w:r>
      <w:proofErr w:type="gramStart"/>
      <w:r>
        <w:t>2019, N 30, ст. 4306), данных электронных торговых площадок и котировок товарно-сырьевых бирж, результатов конкурсов и аукционов, данных Федеральной службы государственной статистики.</w:t>
      </w:r>
      <w:proofErr w:type="gramEnd"/>
    </w:p>
    <w:p w:rsidR="00EF5A32" w:rsidRDefault="00EF5A32">
      <w:pPr>
        <w:pStyle w:val="ConsPlusNormal"/>
        <w:spacing w:before="220"/>
        <w:ind w:firstLine="540"/>
        <w:jc w:val="both"/>
      </w:pPr>
      <w:bookmarkStart w:id="15" w:name="P114"/>
      <w:bookmarkEnd w:id="15"/>
      <w:r>
        <w:t>22. Расходы на организацию проведения геодезических работ определяются по расчету в соответствии с затратами на арендную плату и поверку геодезического оборудования, арендную плату и содержание грузового и специального автотранспорта, необходимого для транспортировки указанного оборудования, с учетом количества объектов строительства, по которым осуществляются функции технического заказчика.</w:t>
      </w:r>
    </w:p>
    <w:p w:rsidR="00EF5A32" w:rsidRDefault="00EF5A32">
      <w:pPr>
        <w:pStyle w:val="ConsPlusNormal"/>
        <w:spacing w:before="220"/>
        <w:ind w:firstLine="540"/>
        <w:jc w:val="both"/>
      </w:pPr>
      <w:bookmarkStart w:id="16" w:name="P115"/>
      <w:bookmarkEnd w:id="16"/>
      <w:r>
        <w:t xml:space="preserve">23. При определении затрат на осуществление функций технического заказчика учитывается величина сметной прибыли, рассчитываемая в размере 10 (десяти) процентов от суммы затрат, определяемых в соответствии с </w:t>
      </w:r>
      <w:hyperlink w:anchor="P67">
        <w:r>
          <w:rPr>
            <w:color w:val="0000FF"/>
          </w:rPr>
          <w:t>пунктами 13</w:t>
        </w:r>
      </w:hyperlink>
      <w:r>
        <w:t xml:space="preserve"> - </w:t>
      </w:r>
      <w:hyperlink w:anchor="P114">
        <w:r>
          <w:rPr>
            <w:color w:val="0000FF"/>
          </w:rPr>
          <w:t>22</w:t>
        </w:r>
      </w:hyperlink>
      <w:r>
        <w:t xml:space="preserve"> Методики.</w:t>
      </w:r>
    </w:p>
    <w:p w:rsidR="00EF5A32" w:rsidRDefault="00EF5A32">
      <w:pPr>
        <w:pStyle w:val="ConsPlusNormal"/>
        <w:jc w:val="both"/>
      </w:pPr>
      <w:r>
        <w:t xml:space="preserve">(п. 23 введен </w:t>
      </w:r>
      <w:hyperlink r:id="rId70">
        <w:r>
          <w:rPr>
            <w:color w:val="0000FF"/>
          </w:rPr>
          <w:t>Приказом</w:t>
        </w:r>
      </w:hyperlink>
      <w:r>
        <w:t xml:space="preserve"> Минстроя России от 15.01.2024 N 13/</w:t>
      </w:r>
      <w:proofErr w:type="gramStart"/>
      <w:r>
        <w:t>пр</w:t>
      </w:r>
      <w:proofErr w:type="gramEnd"/>
      <w:r>
        <w:t>)</w:t>
      </w: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right"/>
        <w:outlineLvl w:val="1"/>
      </w:pPr>
      <w:r>
        <w:t>Приложение N 1</w:t>
      </w:r>
    </w:p>
    <w:p w:rsidR="00EF5A32" w:rsidRDefault="00EF5A32">
      <w:pPr>
        <w:pStyle w:val="ConsPlusNormal"/>
        <w:jc w:val="right"/>
      </w:pPr>
      <w:r>
        <w:t>к Методике определения затрат</w:t>
      </w:r>
    </w:p>
    <w:p w:rsidR="00EF5A32" w:rsidRDefault="00EF5A32">
      <w:pPr>
        <w:pStyle w:val="ConsPlusNormal"/>
        <w:jc w:val="right"/>
      </w:pPr>
      <w:r>
        <w:t>на осуществление функций</w:t>
      </w:r>
    </w:p>
    <w:p w:rsidR="00EF5A32" w:rsidRDefault="00EF5A32">
      <w:pPr>
        <w:pStyle w:val="ConsPlusNormal"/>
        <w:jc w:val="right"/>
      </w:pPr>
      <w:r>
        <w:t>технического заказчика,</w:t>
      </w:r>
    </w:p>
    <w:p w:rsidR="00EF5A32" w:rsidRDefault="00EF5A32">
      <w:pPr>
        <w:pStyle w:val="ConsPlusNormal"/>
        <w:jc w:val="right"/>
      </w:pPr>
      <w:proofErr w:type="gramStart"/>
      <w:r>
        <w:t>утвержденной</w:t>
      </w:r>
      <w:proofErr w:type="gramEnd"/>
      <w:r>
        <w:t xml:space="preserve"> приказом Министерства</w:t>
      </w:r>
    </w:p>
    <w:p w:rsidR="00EF5A32" w:rsidRDefault="00EF5A32">
      <w:pPr>
        <w:pStyle w:val="ConsPlusNormal"/>
        <w:jc w:val="right"/>
      </w:pPr>
      <w:r>
        <w:t>строительства и жилищно-коммунального</w:t>
      </w:r>
    </w:p>
    <w:p w:rsidR="00EF5A32" w:rsidRDefault="00EF5A32">
      <w:pPr>
        <w:pStyle w:val="ConsPlusNormal"/>
        <w:jc w:val="right"/>
      </w:pPr>
      <w:r>
        <w:t>хозяйства Российской Федерации</w:t>
      </w:r>
    </w:p>
    <w:p w:rsidR="00EF5A32" w:rsidRDefault="00EF5A32">
      <w:pPr>
        <w:pStyle w:val="ConsPlusNormal"/>
        <w:jc w:val="right"/>
      </w:pPr>
      <w:r>
        <w:t>от 2 июня 2020 г. N 297/</w:t>
      </w:r>
      <w:proofErr w:type="gramStart"/>
      <w:r>
        <w:t>пр</w:t>
      </w:r>
      <w:proofErr w:type="gramEnd"/>
    </w:p>
    <w:p w:rsidR="00EF5A32" w:rsidRDefault="00EF5A32">
      <w:pPr>
        <w:pStyle w:val="ConsPlusNormal"/>
        <w:jc w:val="both"/>
      </w:pPr>
    </w:p>
    <w:p w:rsidR="00EF5A32" w:rsidRDefault="00EF5A32">
      <w:pPr>
        <w:pStyle w:val="ConsPlusTitle"/>
        <w:jc w:val="center"/>
      </w:pPr>
      <w:bookmarkStart w:id="17" w:name="P131"/>
      <w:bookmarkEnd w:id="17"/>
      <w:r>
        <w:t>РЕКОМЕНДУЕМЫЙ ПЕРЕЧЕНЬ</w:t>
      </w:r>
    </w:p>
    <w:p w:rsidR="00EF5A32" w:rsidRDefault="00EF5A32">
      <w:pPr>
        <w:pStyle w:val="ConsPlusTitle"/>
        <w:jc w:val="center"/>
      </w:pPr>
      <w:r>
        <w:t xml:space="preserve">ФУНКЦИЙ ТЕХНИЧЕСКОГО ЗАКАЗЧИКА, </w:t>
      </w:r>
      <w:proofErr w:type="gramStart"/>
      <w:r>
        <w:t>ИСПОЛЬЗУЕМЫЙ</w:t>
      </w:r>
      <w:proofErr w:type="gramEnd"/>
      <w:r>
        <w:t xml:space="preserve"> ПРИ РАСЧЕТЕ</w:t>
      </w:r>
    </w:p>
    <w:p w:rsidR="00EF5A32" w:rsidRDefault="00EF5A32">
      <w:pPr>
        <w:pStyle w:val="ConsPlusTitle"/>
        <w:jc w:val="center"/>
      </w:pPr>
      <w:r>
        <w:t>ЗАТРАТ НА ОСУЩЕСТВЛЕНИЕ ФУНКЦИЙ ТЕХНИЧЕСКОГО ЗАКАЗЧИКА</w:t>
      </w:r>
    </w:p>
    <w:p w:rsidR="00EF5A32" w:rsidRDefault="00EF5A3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A3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A32" w:rsidRDefault="00EF5A3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A32" w:rsidRDefault="00EF5A32">
            <w:pPr>
              <w:pStyle w:val="ConsPlusNormal"/>
              <w:jc w:val="center"/>
            </w:pPr>
            <w:r>
              <w:rPr>
                <w:color w:val="392C69"/>
              </w:rPr>
              <w:t>Список изменяющих документов</w:t>
            </w:r>
          </w:p>
          <w:p w:rsidR="00EF5A32" w:rsidRDefault="00EF5A32">
            <w:pPr>
              <w:pStyle w:val="ConsPlusNormal"/>
              <w:jc w:val="center"/>
            </w:pPr>
            <w:r>
              <w:rPr>
                <w:color w:val="392C69"/>
              </w:rPr>
              <w:t xml:space="preserve">(в ред. </w:t>
            </w:r>
            <w:hyperlink r:id="rId71">
              <w:r>
                <w:rPr>
                  <w:color w:val="0000FF"/>
                </w:rPr>
                <w:t>Приказа</w:t>
              </w:r>
            </w:hyperlink>
            <w:r>
              <w:rPr>
                <w:color w:val="392C69"/>
              </w:rPr>
              <w:t xml:space="preserve"> Минстроя России от 15.01.2024 N 13/</w:t>
            </w:r>
            <w:proofErr w:type="gramStart"/>
            <w:r>
              <w:rPr>
                <w:color w:val="392C69"/>
              </w:rPr>
              <w:t>пр</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r>
    </w:tbl>
    <w:p w:rsidR="00EF5A32" w:rsidRDefault="00EF5A32">
      <w:pPr>
        <w:pStyle w:val="ConsPlusNormal"/>
        <w:jc w:val="both"/>
      </w:pPr>
    </w:p>
    <w:p w:rsidR="00EF5A32" w:rsidRDefault="00EF5A32">
      <w:pPr>
        <w:pStyle w:val="ConsPlusNormal"/>
        <w:ind w:firstLine="540"/>
        <w:jc w:val="both"/>
      </w:pPr>
      <w:r>
        <w:t xml:space="preserve">1. </w:t>
      </w:r>
      <w:proofErr w:type="gramStart"/>
      <w:r>
        <w:t>Определение состава (общего содержания) работ с целью формирования плана по управлению проектом в строительстве (далее - проект), включая: анализ данных, определение состава работ (содержания) проекта, предпроектные проработки, включая сбор и формирование исходных данных, планирование потребности в кадровых ресурсах, выявление потенциальных рисков проекта и определение путей их снижения, планирование и управление сроками (графиком) реализации проекта, планирование работы с возможными изменениями проекта, определение</w:t>
      </w:r>
      <w:proofErr w:type="gramEnd"/>
      <w:r>
        <w:t xml:space="preserve"> ключевых показателей эффективности и результатов проекта.</w:t>
      </w:r>
    </w:p>
    <w:p w:rsidR="00EF5A32" w:rsidRDefault="00EF5A32">
      <w:pPr>
        <w:pStyle w:val="ConsPlusNormal"/>
        <w:jc w:val="both"/>
      </w:pPr>
      <w:r>
        <w:t xml:space="preserve">(в ред. </w:t>
      </w:r>
      <w:hyperlink r:id="rId72">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2. Получение технических условий подключения (технологического присоединение) к сетям инженерно-технического обеспечения.</w:t>
      </w:r>
    </w:p>
    <w:p w:rsidR="00EF5A32" w:rsidRDefault="00EF5A32">
      <w:pPr>
        <w:pStyle w:val="ConsPlusNormal"/>
        <w:spacing w:before="220"/>
        <w:ind w:firstLine="540"/>
        <w:jc w:val="both"/>
      </w:pPr>
      <w:r>
        <w:t>3. Формирование в установленном порядке плана проектно-изыскательских работ, а также плана капитального строительства, реконструкции, капитального ремонта объектов капитального строительства, сноса, подготовка документации для разработки архитектурно-планировочной концепции и (или) проектной документации, получение необходимых согласований, разрешений.</w:t>
      </w:r>
    </w:p>
    <w:p w:rsidR="00EF5A32" w:rsidRDefault="00EF5A32">
      <w:pPr>
        <w:pStyle w:val="ConsPlusNormal"/>
        <w:spacing w:before="220"/>
        <w:ind w:firstLine="540"/>
        <w:jc w:val="both"/>
      </w:pPr>
      <w:r>
        <w:lastRenderedPageBreak/>
        <w:t xml:space="preserve">4. </w:t>
      </w:r>
      <w:proofErr w:type="gramStart"/>
      <w:r>
        <w:t>Разработка технического задания на инженерные изыскания, проведение спасательных археологических полевых работ, согласование архитектурно-планировочных решений, разработка договоров о выполнении инженерных изысканий и спасательных археологических полевых работ, выбор изыскательских организаций, заключение договоров о выполнении инженерных изысканий, разработка технического задания на подготовку проектной документации, разработка договоров о подготовке проектной документации, выбор проектных и специализированных организаций, заключение договоров о подготовке проектной документации, согласование с</w:t>
      </w:r>
      <w:proofErr w:type="gramEnd"/>
      <w:r>
        <w:t xml:space="preserve"> </w:t>
      </w:r>
      <w:proofErr w:type="gramStart"/>
      <w:r>
        <w:t>проектными организациями сроков выполнения работ, осуществление контроля за их исполнением, координация взаимодействия проектных, изыскательских и прочих организаций - участников проектной подготовки строительства, контроль обеспечения уровня качества проектных решений в процессе разработки и реализации проектной и рабочей документации, определение целесообразности вариантного архитектурно-строительного проектирования и оптимизации предлагаемых проектных решений, приемка, хранение и передача подрядным организациям проектной и рабочей документации, ведение отчетности о ходе</w:t>
      </w:r>
      <w:proofErr w:type="gramEnd"/>
      <w:r>
        <w:t xml:space="preserve"> архитектурно-строительного проектирования, своевременное информирование застройщика о необходимости внесения изменений или корректировок в проектную и (или) рабочую документацию, а также об отклонении от условий архитектурно-строительного проектирования.</w:t>
      </w:r>
    </w:p>
    <w:p w:rsidR="00EF5A32" w:rsidRDefault="00EF5A32">
      <w:pPr>
        <w:pStyle w:val="ConsPlusNormal"/>
        <w:jc w:val="both"/>
      </w:pPr>
      <w:r>
        <w:t xml:space="preserve">(п. 4 в ред. </w:t>
      </w:r>
      <w:hyperlink r:id="rId73">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5. Предоставление лицам, выполняющим инженерные изыскания и (или) осуществляющим подготовку проектной документации, материалов и документов, необходимых для выполнения указанных видов работ.</w:t>
      </w:r>
    </w:p>
    <w:p w:rsidR="00EF5A32" w:rsidRDefault="00EF5A32">
      <w:pPr>
        <w:pStyle w:val="ConsPlusNormal"/>
        <w:spacing w:before="220"/>
        <w:ind w:firstLine="540"/>
        <w:jc w:val="both"/>
      </w:pPr>
      <w:r>
        <w:t xml:space="preserve">6. </w:t>
      </w:r>
      <w:proofErr w:type="gramStart"/>
      <w:r>
        <w:t>Обеспечение рассмотрения и согласования в установленном порядке проектной документации в государственных и муниципальных органах и прочих заинтересованных организациях, определение органов экспертизы и заключение соответствующих договоров, направление проектной документации на проведение экспертизы, организация утверждения проектной документации застройщиком (либо утверждение проектной документации, в случае, если это предусмотрено договором), а также внесение изменений в проектную документацию по результатам замечаний экспертизы.</w:t>
      </w:r>
      <w:proofErr w:type="gramEnd"/>
    </w:p>
    <w:p w:rsidR="00EF5A32" w:rsidRDefault="00EF5A32">
      <w:pPr>
        <w:pStyle w:val="ConsPlusNormal"/>
        <w:spacing w:before="220"/>
        <w:ind w:firstLine="540"/>
        <w:jc w:val="both"/>
      </w:pPr>
      <w:r>
        <w:t>7. Получение разрешения на строительство.</w:t>
      </w:r>
    </w:p>
    <w:p w:rsidR="00EF5A32" w:rsidRDefault="00EF5A32">
      <w:pPr>
        <w:pStyle w:val="ConsPlusNormal"/>
        <w:spacing w:before="220"/>
        <w:ind w:firstLine="540"/>
        <w:jc w:val="both"/>
      </w:pPr>
      <w:r>
        <w:t xml:space="preserve">8. </w:t>
      </w:r>
      <w:proofErr w:type="gramStart"/>
      <w:r>
        <w:t>Разработка и утверждение технической части конкурсной документации, условий проведения конкурса (аукциона), разработка основных положений договора (контракта) и других разделов конкурсной документации, разработка конкурсной документации на исполнение обязанностей генерального подрядчика (подрядчика) строительства, оценка условий строительства объекта в конкурсном предложении, реализуемой подрядчиком технологии производства строительно-монтажных работ, оснащенности необходимым оборудованием и техникой, внутренней системы менеджмента качества, репутации, финансового состояния подрядной организации и других</w:t>
      </w:r>
      <w:proofErr w:type="gramEnd"/>
      <w:r>
        <w:t xml:space="preserve"> аспектов, проверка наличия необходимых документов.</w:t>
      </w:r>
    </w:p>
    <w:p w:rsidR="00EF5A32" w:rsidRDefault="00EF5A32">
      <w:pPr>
        <w:pStyle w:val="ConsPlusNormal"/>
        <w:spacing w:before="220"/>
        <w:ind w:firstLine="540"/>
        <w:jc w:val="both"/>
      </w:pPr>
      <w:r>
        <w:t xml:space="preserve">9. </w:t>
      </w:r>
      <w:proofErr w:type="gramStart"/>
      <w:r>
        <w:t>Заключение договоров о строительстве объектов капитального строительства, установление требований к срокам строительства, качеству построенного объекта, рассмотрение в соответствии с проектной документацией состава и номенклатуры строительных материалов, конструкций, технологического оборудования и других видов материальных ресурсов, поставляемых подрядчиком, порядка проведения пусконаладочных работ, уточнение договорной цены работ, условий страхования рисков, связанных со строительством, требований по охране труда и технике безопасности при производстве строительно-монтажных</w:t>
      </w:r>
      <w:proofErr w:type="gramEnd"/>
      <w:r>
        <w:t xml:space="preserve"> работ, имущественной ответственности сторон за неисполнение договорных обязательств, условий конфиденциальности при выполнении контракта и прочих условий.</w:t>
      </w:r>
    </w:p>
    <w:p w:rsidR="00EF5A32" w:rsidRDefault="00EF5A32">
      <w:pPr>
        <w:pStyle w:val="ConsPlusNormal"/>
        <w:spacing w:before="220"/>
        <w:ind w:firstLine="540"/>
        <w:jc w:val="both"/>
      </w:pPr>
      <w:r>
        <w:t xml:space="preserve">10. </w:t>
      </w:r>
      <w:proofErr w:type="gramStart"/>
      <w:r>
        <w:t xml:space="preserve">Получение разрешения соответствующих эксплуатирующих организаций на производство работ в зоне воздушных линий электропередач, линий связи в полосе отвода железных дорог, в местах прохождения подземных коммуникаций (кабельных, газопроводных, </w:t>
      </w:r>
      <w:r>
        <w:lastRenderedPageBreak/>
        <w:t>водопроводных, канализационных) и других расположенных на строительной площадке, использование в период строительства электроэнергии, газа, воды и пара от существующих источников в соответствии с проектом организации строительства в случае отсутствия у застройщика собственных объектов</w:t>
      </w:r>
      <w:proofErr w:type="gramEnd"/>
      <w:r>
        <w:t xml:space="preserve"> газ</w:t>
      </w:r>
      <w:proofErr w:type="gramStart"/>
      <w:r>
        <w:t>о-</w:t>
      </w:r>
      <w:proofErr w:type="gramEnd"/>
      <w:r>
        <w:t>, водо-, паро- тепло- и энергоснабжения, вырубку зеленых насаждений и пересадку деревьев, оформление порубочных билетов.</w:t>
      </w:r>
    </w:p>
    <w:p w:rsidR="00EF5A32" w:rsidRDefault="00EF5A32">
      <w:pPr>
        <w:pStyle w:val="ConsPlusNormal"/>
        <w:spacing w:before="220"/>
        <w:ind w:firstLine="540"/>
        <w:jc w:val="both"/>
      </w:pPr>
      <w:r>
        <w:t xml:space="preserve">11. </w:t>
      </w:r>
      <w:proofErr w:type="gramStart"/>
      <w:r>
        <w:t>Организация создания геодезической основы строительства, выноса в натуру линий регулирования застройки и создания геодезической разбивочной основы, подготовка документов для получения разрешения на строительство, получение разрешения на строительство, разработка и заключение договоров на создание геодезической разбивочной основы, разработка и заключение соглашений о компенсации стоимости работ по переносу, переустройству объектов основных средств, принадлежащих налогоплательщику на праве собственности или оперативного управления, в связи</w:t>
      </w:r>
      <w:proofErr w:type="gramEnd"/>
      <w:r>
        <w:t xml:space="preserve"> </w:t>
      </w:r>
      <w:proofErr w:type="gramStart"/>
      <w:r>
        <w:t>с созданием или реконструкцией иного объекта (объектов) капитального строительства, организация работ по подготовке земельного участка для строительства и (или) объекта капитального строительства для реконструкции или капитального ремонта, организация подготовки строительной площадки, сноса существующих объектов капитального строительства, переноса инженерных коммуникаций, включая заключение соглашений о возмещении потерь за счет застройщика в соответствии с требованиями гражданского законодательства.</w:t>
      </w:r>
      <w:proofErr w:type="gramEnd"/>
    </w:p>
    <w:p w:rsidR="00EF5A32" w:rsidRDefault="00EF5A32">
      <w:pPr>
        <w:pStyle w:val="ConsPlusNormal"/>
        <w:jc w:val="both"/>
      </w:pPr>
      <w:r>
        <w:t xml:space="preserve">(п. 11 в ред. </w:t>
      </w:r>
      <w:hyperlink r:id="rId74">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12. Передача земельного участка генеральному подрядчику (подрядчику) строительства для проведения строительных работ.</w:t>
      </w:r>
    </w:p>
    <w:p w:rsidR="00EF5A32" w:rsidRDefault="00EF5A32">
      <w:pPr>
        <w:pStyle w:val="ConsPlusNormal"/>
        <w:spacing w:before="220"/>
        <w:ind w:firstLine="540"/>
        <w:jc w:val="both"/>
      </w:pPr>
      <w:r>
        <w:t xml:space="preserve">13. Направление в органы государственного строительного надзора извещений в соответствии с </w:t>
      </w:r>
      <w:hyperlink r:id="rId75">
        <w:r>
          <w:rPr>
            <w:color w:val="0000FF"/>
          </w:rPr>
          <w:t>пунктом 3 части 6 статьи 5.2</w:t>
        </w:r>
      </w:hyperlink>
      <w:r>
        <w:t xml:space="preserve"> Градостроительного кодекса Российской Федерации.</w:t>
      </w:r>
    </w:p>
    <w:p w:rsidR="00EF5A32" w:rsidRDefault="00EF5A32">
      <w:pPr>
        <w:pStyle w:val="ConsPlusNormal"/>
        <w:jc w:val="both"/>
      </w:pPr>
      <w:r>
        <w:t xml:space="preserve">(п. 13 в ред. </w:t>
      </w:r>
      <w:hyperlink r:id="rId76">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14. Предоставление лицам, осуществляющим строительство объектов капитального строительства, материалов и документов, необходимых для выполнения указанных видов работ, в том числе материалов и результатов инженерных изысканий, проектной документации, разрешения на строительство.</w:t>
      </w:r>
    </w:p>
    <w:p w:rsidR="00EF5A32" w:rsidRDefault="00EF5A32">
      <w:pPr>
        <w:pStyle w:val="ConsPlusNormal"/>
        <w:spacing w:before="220"/>
        <w:ind w:firstLine="540"/>
        <w:jc w:val="both"/>
      </w:pPr>
      <w:r>
        <w:t>15. Передача подрядчику проектной и рабочей документации, утверждение и внесение корректив в графики выполнения строительно-монтажных работ, согласование с подрядчиками перечня планируемых поставщиков материалов и привлекаемых сторонних организаций для выполнения отдельных видов строительно-монтажных работ.</w:t>
      </w:r>
    </w:p>
    <w:p w:rsidR="00EF5A32" w:rsidRDefault="00EF5A32">
      <w:pPr>
        <w:pStyle w:val="ConsPlusNormal"/>
        <w:spacing w:before="220"/>
        <w:ind w:firstLine="540"/>
        <w:jc w:val="both"/>
      </w:pPr>
      <w:r>
        <w:t xml:space="preserve">16. </w:t>
      </w:r>
      <w:proofErr w:type="gramStart"/>
      <w:r>
        <w:t>Контроль за</w:t>
      </w:r>
      <w:proofErr w:type="gramEnd"/>
      <w:r>
        <w:t xml:space="preserve"> сроками получения оборудования и материалов, организации приемки, представление и рассмотрение претензий к изготовителям и поставщикам, а также участие в арбитражном обсуждении (в случае необходимости), рассмотрение и урегулирование спорных вопросов по выполнению условий договоров (контрактов) строительного подряда с подрядными организациями.</w:t>
      </w:r>
    </w:p>
    <w:p w:rsidR="00EF5A32" w:rsidRDefault="00EF5A32">
      <w:pPr>
        <w:pStyle w:val="ConsPlusNormal"/>
        <w:spacing w:before="220"/>
        <w:ind w:firstLine="540"/>
        <w:jc w:val="both"/>
      </w:pPr>
      <w:r>
        <w:t>17. Подготовка отчетности о ходе строительства и реализации графиков выполнения работ, своевременное информирование застройщика в случае отклонения от сроков реализации проекта, предложение решений по сокращению и оптимизации сроков и бюджета строительства.</w:t>
      </w:r>
    </w:p>
    <w:p w:rsidR="00EF5A32" w:rsidRDefault="00EF5A32">
      <w:pPr>
        <w:pStyle w:val="ConsPlusNormal"/>
        <w:jc w:val="both"/>
      </w:pPr>
      <w:r>
        <w:t xml:space="preserve">(в ред. </w:t>
      </w:r>
      <w:hyperlink r:id="rId77">
        <w:r>
          <w:rPr>
            <w:color w:val="0000FF"/>
          </w:rPr>
          <w:t>Приказа</w:t>
        </w:r>
      </w:hyperlink>
      <w:r>
        <w:t xml:space="preserve"> Минстроя России от 15.01.2024 N 13/</w:t>
      </w:r>
      <w:proofErr w:type="gramStart"/>
      <w:r>
        <w:t>пр</w:t>
      </w:r>
      <w:proofErr w:type="gramEnd"/>
      <w:r>
        <w:t>)</w:t>
      </w:r>
    </w:p>
    <w:p w:rsidR="00EF5A32" w:rsidRDefault="00EF5A32">
      <w:pPr>
        <w:pStyle w:val="ConsPlusNormal"/>
        <w:spacing w:before="220"/>
        <w:ind w:firstLine="540"/>
        <w:jc w:val="both"/>
      </w:pPr>
      <w:r>
        <w:t>18. Проверка соответствия промежуточных результатов проекта и хода его работ установленным требованиям и критериям качества, сроков выполнения работ и их стоимости.</w:t>
      </w:r>
    </w:p>
    <w:p w:rsidR="00EF5A32" w:rsidRDefault="00EF5A32">
      <w:pPr>
        <w:pStyle w:val="ConsPlusNormal"/>
        <w:spacing w:before="220"/>
        <w:ind w:firstLine="540"/>
        <w:jc w:val="both"/>
      </w:pPr>
      <w:r>
        <w:t xml:space="preserve">19. Ведение статистического учета и предоставление отчетности в установленном порядке и в соответствии с условиями договора с застройщиком, предоставление застройщику ежемесячной информации о ходе строительства, расходовании денежных средств, сроках выполнения каждого вида строительно-монтажных работ, возникновении дополнительных строительно-монтажных </w:t>
      </w:r>
      <w:r>
        <w:lastRenderedPageBreak/>
        <w:t>работ.</w:t>
      </w:r>
    </w:p>
    <w:p w:rsidR="00EF5A32" w:rsidRDefault="00EF5A32">
      <w:pPr>
        <w:pStyle w:val="ConsPlusNormal"/>
        <w:spacing w:before="220"/>
        <w:ind w:firstLine="540"/>
        <w:jc w:val="both"/>
      </w:pPr>
      <w:r>
        <w:t>20. Проведение анализа затрат по отдельным статьям расходов строительно-монтажных работ и услуг, разработка и принятие мер по эффективному использованию выделяемых застройщиком денежных средств.</w:t>
      </w:r>
    </w:p>
    <w:p w:rsidR="00EF5A32" w:rsidRDefault="00EF5A32">
      <w:pPr>
        <w:pStyle w:val="ConsPlusNormal"/>
        <w:spacing w:before="220"/>
        <w:ind w:firstLine="540"/>
        <w:jc w:val="both"/>
      </w:pPr>
      <w:r>
        <w:t>21. Ведение бухгалтерского учета, подготовка бухгалтерской и финансовой отчетности.</w:t>
      </w:r>
    </w:p>
    <w:p w:rsidR="00EF5A32" w:rsidRDefault="00EF5A32">
      <w:pPr>
        <w:pStyle w:val="ConsPlusNormal"/>
        <w:spacing w:before="220"/>
        <w:ind w:firstLine="540"/>
        <w:jc w:val="both"/>
      </w:pPr>
      <w:r>
        <w:t>22. Участие в проверках, проводимых уполномоченными органами по контролю и надзору.</w:t>
      </w:r>
    </w:p>
    <w:p w:rsidR="00EF5A32" w:rsidRDefault="00EF5A32">
      <w:pPr>
        <w:pStyle w:val="ConsPlusNormal"/>
        <w:spacing w:before="220"/>
        <w:ind w:firstLine="540"/>
        <w:jc w:val="both"/>
      </w:pPr>
      <w:r>
        <w:t>23. Обеспечение консервации объекта капитального строительства при необходимости прекращения работ или их приостановления более чем на шесть месяцев.</w:t>
      </w:r>
    </w:p>
    <w:p w:rsidR="00EF5A32" w:rsidRDefault="00EF5A32">
      <w:pPr>
        <w:pStyle w:val="ConsPlusNormal"/>
        <w:spacing w:before="220"/>
        <w:ind w:firstLine="540"/>
        <w:jc w:val="both"/>
      </w:pPr>
      <w:r>
        <w:t>24. Участие в качестве наблюдателя при установлении причин нарушения законодательства, в результате которого причинен вред жизни или здоровью физических лиц, имуществу физических или юридических лиц в результате нарушения законодательства Российской Федерации о градостроительной деятельности.</w:t>
      </w:r>
    </w:p>
    <w:p w:rsidR="00EF5A32" w:rsidRDefault="00EF5A32">
      <w:pPr>
        <w:pStyle w:val="ConsPlusNormal"/>
        <w:spacing w:before="220"/>
        <w:ind w:firstLine="540"/>
        <w:jc w:val="both"/>
      </w:pPr>
      <w:r>
        <w:t xml:space="preserve">25. Определение режима эксплуатации объекта в период индивидуальных и комплексных испытаний инженерных систем, оборудования, их приемки, обеспечение </w:t>
      </w:r>
      <w:proofErr w:type="gramStart"/>
      <w:r>
        <w:t>контроля за</w:t>
      </w:r>
      <w:proofErr w:type="gramEnd"/>
      <w:r>
        <w:t xml:space="preserve"> пусконаладочными работами и организацией подготовки объекта к сдаче в эксплуатацию.</w:t>
      </w:r>
    </w:p>
    <w:p w:rsidR="00EF5A32" w:rsidRDefault="00EF5A32">
      <w:pPr>
        <w:pStyle w:val="ConsPlusNormal"/>
        <w:spacing w:before="220"/>
        <w:ind w:firstLine="540"/>
        <w:jc w:val="both"/>
      </w:pPr>
      <w:r>
        <w:t>26. Проверка исполнительной документации, передача документации по приемке объекта в эксплуатацию на хранение пользователю объекта.</w:t>
      </w:r>
    </w:p>
    <w:p w:rsidR="00EF5A32" w:rsidRDefault="00EF5A32">
      <w:pPr>
        <w:pStyle w:val="ConsPlusNormal"/>
        <w:spacing w:before="220"/>
        <w:ind w:firstLine="540"/>
        <w:jc w:val="both"/>
      </w:pPr>
      <w:r>
        <w:t>27. Создание от имени и по поручению застройщика приемо-сдаточной комиссии и проведение приемки от исполнителя работ законченного строительством объекта.</w:t>
      </w:r>
    </w:p>
    <w:p w:rsidR="00EF5A32" w:rsidRDefault="00EF5A32">
      <w:pPr>
        <w:pStyle w:val="ConsPlusNormal"/>
        <w:spacing w:before="220"/>
        <w:ind w:firstLine="540"/>
        <w:jc w:val="both"/>
      </w:pPr>
      <w:r>
        <w:t>28. Представление приемо-сдаточной комиссии необходимых документов по законченному строительством объекту.</w:t>
      </w:r>
    </w:p>
    <w:p w:rsidR="00EF5A32" w:rsidRDefault="00EF5A32">
      <w:pPr>
        <w:pStyle w:val="ConsPlusNormal"/>
        <w:spacing w:before="220"/>
        <w:ind w:firstLine="540"/>
        <w:jc w:val="both"/>
      </w:pPr>
      <w:r>
        <w:t>29. Согласование сроков устранения дефектов и недоделок в соответствии с договорами с подрядными организациями.</w:t>
      </w:r>
    </w:p>
    <w:p w:rsidR="00EF5A32" w:rsidRDefault="00EF5A32">
      <w:pPr>
        <w:pStyle w:val="ConsPlusNormal"/>
        <w:spacing w:before="220"/>
        <w:ind w:firstLine="540"/>
        <w:jc w:val="both"/>
      </w:pPr>
      <w:r>
        <w:t xml:space="preserve">30. Подготовка документов </w:t>
      </w:r>
      <w:proofErr w:type="gramStart"/>
      <w:r>
        <w:t>для обращения в соответствующие органы исполнительной власти за получением разрешения на ввод объекта в эксплуатацию</w:t>
      </w:r>
      <w:proofErr w:type="gramEnd"/>
      <w:r>
        <w:t>, предъявление законченного строительством объекта строительства органам государственного строительного надзора и экологического надзора (в случаях, предусмотренных законодательством Российской Федерации), предъявление законченного строительством объекта строительства уполномоченному органу для ввода в эксплуатацию.</w:t>
      </w:r>
    </w:p>
    <w:p w:rsidR="00EF5A32" w:rsidRDefault="00EF5A32">
      <w:pPr>
        <w:pStyle w:val="ConsPlusNormal"/>
        <w:spacing w:before="220"/>
        <w:ind w:firstLine="540"/>
        <w:jc w:val="both"/>
      </w:pPr>
      <w:r>
        <w:t>31. Подготовка и подписание документов для осуществления ввода объекта в эксплуатацию и его последующей регистрации в органах местного самоуправления, в установленном ими порядке.</w:t>
      </w:r>
    </w:p>
    <w:p w:rsidR="00EF5A32" w:rsidRDefault="00EF5A32">
      <w:pPr>
        <w:pStyle w:val="ConsPlusNormal"/>
        <w:spacing w:before="220"/>
        <w:ind w:firstLine="540"/>
        <w:jc w:val="both"/>
      </w:pPr>
      <w:r>
        <w:t>32. Передача завершенного строительством объекта застройщику или организациям-пользователям, уполномоченным застройщиком, или вынесение его на реализацию (продажу, отчуждение и другое).</w:t>
      </w:r>
    </w:p>
    <w:p w:rsidR="00EF5A32" w:rsidRDefault="00EF5A32">
      <w:pPr>
        <w:pStyle w:val="ConsPlusNormal"/>
        <w:spacing w:before="220"/>
        <w:ind w:firstLine="540"/>
        <w:jc w:val="both"/>
      </w:pPr>
      <w:r>
        <w:t>33. Подготовка и передача застройщику отчета о выполнении договорных обязательств и о достижении проектом необходимых параметров по результатам строительства.</w:t>
      </w:r>
    </w:p>
    <w:p w:rsidR="00EF5A32" w:rsidRDefault="00EF5A32">
      <w:pPr>
        <w:pStyle w:val="ConsPlusNormal"/>
        <w:spacing w:before="220"/>
        <w:ind w:firstLine="540"/>
        <w:jc w:val="both"/>
      </w:pPr>
      <w:r>
        <w:t>34. Иные функции, необходимые для достижения техническим заказчиком поставленных перед ним задач в соответствии с законодательством Российской Федерации.</w:t>
      </w: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both"/>
      </w:pPr>
    </w:p>
    <w:p w:rsidR="00EF5A32" w:rsidRDefault="00EF5A32">
      <w:pPr>
        <w:pStyle w:val="ConsPlusNormal"/>
        <w:jc w:val="right"/>
        <w:outlineLvl w:val="1"/>
      </w:pPr>
      <w:r>
        <w:t>Приложение N 2</w:t>
      </w:r>
    </w:p>
    <w:p w:rsidR="00EF5A32" w:rsidRDefault="00EF5A32">
      <w:pPr>
        <w:pStyle w:val="ConsPlusNormal"/>
        <w:jc w:val="right"/>
      </w:pPr>
      <w:r>
        <w:t>к Методике определения затрат</w:t>
      </w:r>
    </w:p>
    <w:p w:rsidR="00EF5A32" w:rsidRDefault="00EF5A32">
      <w:pPr>
        <w:pStyle w:val="ConsPlusNormal"/>
        <w:jc w:val="right"/>
      </w:pPr>
      <w:r>
        <w:t>на осуществление функций</w:t>
      </w:r>
    </w:p>
    <w:p w:rsidR="00EF5A32" w:rsidRDefault="00EF5A32">
      <w:pPr>
        <w:pStyle w:val="ConsPlusNormal"/>
        <w:jc w:val="right"/>
      </w:pPr>
      <w:r>
        <w:t>технического заказчика,</w:t>
      </w:r>
    </w:p>
    <w:p w:rsidR="00EF5A32" w:rsidRDefault="00EF5A32">
      <w:pPr>
        <w:pStyle w:val="ConsPlusNormal"/>
        <w:jc w:val="right"/>
      </w:pPr>
      <w:proofErr w:type="gramStart"/>
      <w:r>
        <w:t>утвержденной</w:t>
      </w:r>
      <w:proofErr w:type="gramEnd"/>
      <w:r>
        <w:t xml:space="preserve"> приказом</w:t>
      </w:r>
    </w:p>
    <w:p w:rsidR="00EF5A32" w:rsidRDefault="00EF5A32">
      <w:pPr>
        <w:pStyle w:val="ConsPlusNormal"/>
        <w:jc w:val="right"/>
      </w:pPr>
      <w:r>
        <w:t>Минстроя России</w:t>
      </w:r>
    </w:p>
    <w:p w:rsidR="00EF5A32" w:rsidRDefault="00EF5A32">
      <w:pPr>
        <w:pStyle w:val="ConsPlusNormal"/>
        <w:jc w:val="right"/>
      </w:pPr>
      <w:r>
        <w:t>от 2 июня 2020 г. N 297/</w:t>
      </w:r>
      <w:proofErr w:type="gramStart"/>
      <w:r>
        <w:t>пр</w:t>
      </w:r>
      <w:proofErr w:type="gramEnd"/>
    </w:p>
    <w:p w:rsidR="00EF5A32" w:rsidRDefault="00EF5A32">
      <w:pPr>
        <w:pStyle w:val="ConsPlusNormal"/>
        <w:jc w:val="both"/>
      </w:pPr>
    </w:p>
    <w:p w:rsidR="00EF5A32" w:rsidRDefault="00EF5A32">
      <w:pPr>
        <w:pStyle w:val="ConsPlusTitle"/>
        <w:jc w:val="center"/>
      </w:pPr>
      <w:bookmarkStart w:id="18" w:name="P189"/>
      <w:bookmarkEnd w:id="18"/>
      <w:r>
        <w:t>ОПРЕДЕЛЕНИЕ</w:t>
      </w:r>
    </w:p>
    <w:p w:rsidR="00EF5A32" w:rsidRDefault="00EF5A32">
      <w:pPr>
        <w:pStyle w:val="ConsPlusTitle"/>
        <w:jc w:val="center"/>
      </w:pPr>
      <w:r>
        <w:t>ЧИСЛЕННОСТИ РАБОТНИКОВ ТЕХНИЧЕСКОГО ЗАКАЗЧИКА</w:t>
      </w:r>
    </w:p>
    <w:p w:rsidR="00EF5A32" w:rsidRDefault="00EF5A32">
      <w:pPr>
        <w:pStyle w:val="ConsPlusTitle"/>
        <w:jc w:val="center"/>
      </w:pPr>
      <w:r>
        <w:t>ИСХОДЯ ИЗ ВЕЛИЧИНЫ СМЕТНОЙ СТОИМОСТИ СТРОИТЕЛЬСТВА ОБЪЕКТА</w:t>
      </w:r>
    </w:p>
    <w:p w:rsidR="00EF5A32" w:rsidRDefault="00EF5A32">
      <w:pPr>
        <w:pStyle w:val="ConsPlusTitle"/>
        <w:jc w:val="center"/>
      </w:pPr>
      <w:r>
        <w:t>КАПИТАЛЬНОГО СТРОИТЕЛЬСТВА ПО ИТОГАМ ГЛАВ 1 - 9</w:t>
      </w:r>
      <w:proofErr w:type="gramStart"/>
      <w:r>
        <w:t xml:space="preserve"> И</w:t>
      </w:r>
      <w:proofErr w:type="gramEnd"/>
      <w:r>
        <w:t xml:space="preserve"> 12 ССРСС</w:t>
      </w:r>
    </w:p>
    <w:p w:rsidR="00EF5A32" w:rsidRDefault="00EF5A3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F5A3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F5A32" w:rsidRDefault="00EF5A3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F5A32" w:rsidRDefault="00EF5A32">
            <w:pPr>
              <w:pStyle w:val="ConsPlusNormal"/>
              <w:jc w:val="center"/>
            </w:pPr>
            <w:r>
              <w:rPr>
                <w:color w:val="392C69"/>
              </w:rPr>
              <w:t>Список изменяющих документов</w:t>
            </w:r>
          </w:p>
          <w:p w:rsidR="00EF5A32" w:rsidRDefault="00EF5A32">
            <w:pPr>
              <w:pStyle w:val="ConsPlusNormal"/>
              <w:jc w:val="center"/>
            </w:pPr>
            <w:r>
              <w:rPr>
                <w:color w:val="392C69"/>
              </w:rPr>
              <w:t xml:space="preserve">(в ред. </w:t>
            </w:r>
            <w:hyperlink r:id="rId78">
              <w:r>
                <w:rPr>
                  <w:color w:val="0000FF"/>
                </w:rPr>
                <w:t>Приказа</w:t>
              </w:r>
            </w:hyperlink>
            <w:r>
              <w:rPr>
                <w:color w:val="392C69"/>
              </w:rPr>
              <w:t xml:space="preserve"> Минстроя России от 15.01.2024 N 13/</w:t>
            </w:r>
            <w:proofErr w:type="gramStart"/>
            <w:r>
              <w:rPr>
                <w:color w:val="392C69"/>
              </w:rPr>
              <w:t>пр</w:t>
            </w:r>
            <w:proofErr w:type="gramEnd"/>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F5A32" w:rsidRDefault="00EF5A32">
            <w:pPr>
              <w:pStyle w:val="ConsPlusNormal"/>
            </w:pPr>
          </w:p>
        </w:tc>
      </w:tr>
    </w:tbl>
    <w:p w:rsidR="00EF5A32" w:rsidRDefault="00EF5A32">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150"/>
        <w:gridCol w:w="2872"/>
      </w:tblGrid>
      <w:tr w:rsidR="00EF5A32">
        <w:tc>
          <w:tcPr>
            <w:tcW w:w="6150" w:type="dxa"/>
          </w:tcPr>
          <w:p w:rsidR="00EF5A32" w:rsidRDefault="00EF5A32">
            <w:pPr>
              <w:pStyle w:val="ConsPlusNormal"/>
              <w:jc w:val="center"/>
            </w:pPr>
            <w:r>
              <w:t>Сметная стоимость строительства, определенная по итогам глав 1 - 9 и 12 ССРСС в уровне цен по состоянию на 1 января 2023 г., млн. рублей</w:t>
            </w:r>
          </w:p>
        </w:tc>
        <w:tc>
          <w:tcPr>
            <w:tcW w:w="2872" w:type="dxa"/>
          </w:tcPr>
          <w:p w:rsidR="00EF5A32" w:rsidRDefault="00EF5A32">
            <w:pPr>
              <w:pStyle w:val="ConsPlusNormal"/>
              <w:jc w:val="center"/>
            </w:pPr>
            <w:r>
              <w:t>Численность работников технического заказчика, человек</w:t>
            </w:r>
          </w:p>
        </w:tc>
      </w:tr>
      <w:tr w:rsidR="00EF5A32">
        <w:tc>
          <w:tcPr>
            <w:tcW w:w="6150" w:type="dxa"/>
          </w:tcPr>
          <w:p w:rsidR="00EF5A32" w:rsidRDefault="00EF5A32">
            <w:pPr>
              <w:pStyle w:val="ConsPlusNormal"/>
              <w:jc w:val="center"/>
            </w:pPr>
            <w:r>
              <w:t>1</w:t>
            </w:r>
          </w:p>
        </w:tc>
        <w:tc>
          <w:tcPr>
            <w:tcW w:w="2872" w:type="dxa"/>
          </w:tcPr>
          <w:p w:rsidR="00EF5A32" w:rsidRDefault="00EF5A32">
            <w:pPr>
              <w:pStyle w:val="ConsPlusNormal"/>
              <w:jc w:val="center"/>
            </w:pPr>
            <w:r>
              <w:t>2</w:t>
            </w:r>
          </w:p>
        </w:tc>
      </w:tr>
      <w:tr w:rsidR="00EF5A32">
        <w:tc>
          <w:tcPr>
            <w:tcW w:w="6150" w:type="dxa"/>
            <w:vAlign w:val="center"/>
          </w:tcPr>
          <w:p w:rsidR="00EF5A32" w:rsidRDefault="00EF5A32">
            <w:pPr>
              <w:pStyle w:val="ConsPlusNormal"/>
            </w:pPr>
            <w:r>
              <w:t>до 600</w:t>
            </w:r>
          </w:p>
        </w:tc>
        <w:tc>
          <w:tcPr>
            <w:tcW w:w="2872" w:type="dxa"/>
            <w:vAlign w:val="bottom"/>
          </w:tcPr>
          <w:p w:rsidR="00EF5A32" w:rsidRDefault="00EF5A32">
            <w:pPr>
              <w:pStyle w:val="ConsPlusNormal"/>
              <w:jc w:val="center"/>
            </w:pPr>
            <w:r>
              <w:t>1</w:t>
            </w:r>
          </w:p>
        </w:tc>
      </w:tr>
      <w:tr w:rsidR="00EF5A32">
        <w:tc>
          <w:tcPr>
            <w:tcW w:w="6150" w:type="dxa"/>
            <w:vAlign w:val="center"/>
          </w:tcPr>
          <w:p w:rsidR="00EF5A32" w:rsidRDefault="00EF5A32">
            <w:pPr>
              <w:pStyle w:val="ConsPlusNormal"/>
            </w:pPr>
            <w:r>
              <w:t>свыше 600 до 1200</w:t>
            </w:r>
          </w:p>
        </w:tc>
        <w:tc>
          <w:tcPr>
            <w:tcW w:w="2872" w:type="dxa"/>
            <w:vAlign w:val="center"/>
          </w:tcPr>
          <w:p w:rsidR="00EF5A32" w:rsidRDefault="00EF5A32">
            <w:pPr>
              <w:pStyle w:val="ConsPlusNormal"/>
              <w:jc w:val="center"/>
            </w:pPr>
            <w:r>
              <w:t>3</w:t>
            </w:r>
          </w:p>
        </w:tc>
      </w:tr>
      <w:tr w:rsidR="00EF5A32">
        <w:tc>
          <w:tcPr>
            <w:tcW w:w="6150" w:type="dxa"/>
            <w:vAlign w:val="center"/>
          </w:tcPr>
          <w:p w:rsidR="00EF5A32" w:rsidRDefault="00EF5A32">
            <w:pPr>
              <w:pStyle w:val="ConsPlusNormal"/>
            </w:pPr>
            <w:r>
              <w:t>свыше 1200 до 1500</w:t>
            </w:r>
          </w:p>
        </w:tc>
        <w:tc>
          <w:tcPr>
            <w:tcW w:w="2872" w:type="dxa"/>
            <w:vAlign w:val="center"/>
          </w:tcPr>
          <w:p w:rsidR="00EF5A32" w:rsidRDefault="00EF5A32">
            <w:pPr>
              <w:pStyle w:val="ConsPlusNormal"/>
              <w:jc w:val="center"/>
            </w:pPr>
            <w:r>
              <w:t>4</w:t>
            </w:r>
          </w:p>
        </w:tc>
      </w:tr>
      <w:tr w:rsidR="00EF5A32">
        <w:tc>
          <w:tcPr>
            <w:tcW w:w="6150" w:type="dxa"/>
            <w:vAlign w:val="center"/>
          </w:tcPr>
          <w:p w:rsidR="00EF5A32" w:rsidRDefault="00EF5A32">
            <w:pPr>
              <w:pStyle w:val="ConsPlusNormal"/>
            </w:pPr>
            <w:r>
              <w:t>свыше 1500 до 1800</w:t>
            </w:r>
          </w:p>
        </w:tc>
        <w:tc>
          <w:tcPr>
            <w:tcW w:w="2872" w:type="dxa"/>
            <w:vAlign w:val="center"/>
          </w:tcPr>
          <w:p w:rsidR="00EF5A32" w:rsidRDefault="00EF5A32">
            <w:pPr>
              <w:pStyle w:val="ConsPlusNormal"/>
              <w:jc w:val="center"/>
            </w:pPr>
            <w:r>
              <w:t>5</w:t>
            </w:r>
          </w:p>
        </w:tc>
      </w:tr>
      <w:tr w:rsidR="00EF5A32">
        <w:tc>
          <w:tcPr>
            <w:tcW w:w="6150" w:type="dxa"/>
            <w:vAlign w:val="center"/>
          </w:tcPr>
          <w:p w:rsidR="00EF5A32" w:rsidRDefault="00EF5A32">
            <w:pPr>
              <w:pStyle w:val="ConsPlusNormal"/>
            </w:pPr>
            <w:r>
              <w:t>свыше 1800 до 2350</w:t>
            </w:r>
          </w:p>
        </w:tc>
        <w:tc>
          <w:tcPr>
            <w:tcW w:w="2872" w:type="dxa"/>
            <w:vAlign w:val="center"/>
          </w:tcPr>
          <w:p w:rsidR="00EF5A32" w:rsidRDefault="00EF5A32">
            <w:pPr>
              <w:pStyle w:val="ConsPlusNormal"/>
              <w:jc w:val="center"/>
            </w:pPr>
            <w:r>
              <w:t>6</w:t>
            </w:r>
          </w:p>
        </w:tc>
      </w:tr>
      <w:tr w:rsidR="00EF5A32">
        <w:tc>
          <w:tcPr>
            <w:tcW w:w="6150" w:type="dxa"/>
            <w:vAlign w:val="center"/>
          </w:tcPr>
          <w:p w:rsidR="00EF5A32" w:rsidRDefault="00EF5A32">
            <w:pPr>
              <w:pStyle w:val="ConsPlusNormal"/>
            </w:pPr>
            <w:r>
              <w:t>свыше 2350 до 3500</w:t>
            </w:r>
          </w:p>
        </w:tc>
        <w:tc>
          <w:tcPr>
            <w:tcW w:w="2872" w:type="dxa"/>
            <w:vAlign w:val="center"/>
          </w:tcPr>
          <w:p w:rsidR="00EF5A32" w:rsidRDefault="00EF5A32">
            <w:pPr>
              <w:pStyle w:val="ConsPlusNormal"/>
              <w:jc w:val="center"/>
            </w:pPr>
            <w:r>
              <w:t>8</w:t>
            </w:r>
          </w:p>
        </w:tc>
      </w:tr>
      <w:tr w:rsidR="00EF5A32">
        <w:tc>
          <w:tcPr>
            <w:tcW w:w="6150" w:type="dxa"/>
            <w:vAlign w:val="center"/>
          </w:tcPr>
          <w:p w:rsidR="00EF5A32" w:rsidRDefault="00EF5A32">
            <w:pPr>
              <w:pStyle w:val="ConsPlusNormal"/>
            </w:pPr>
            <w:r>
              <w:t>свыше 3500 до 4700</w:t>
            </w:r>
          </w:p>
        </w:tc>
        <w:tc>
          <w:tcPr>
            <w:tcW w:w="2872" w:type="dxa"/>
            <w:vAlign w:val="center"/>
          </w:tcPr>
          <w:p w:rsidR="00EF5A32" w:rsidRDefault="00EF5A32">
            <w:pPr>
              <w:pStyle w:val="ConsPlusNormal"/>
              <w:jc w:val="center"/>
            </w:pPr>
            <w:r>
              <w:t>9</w:t>
            </w:r>
          </w:p>
        </w:tc>
      </w:tr>
      <w:tr w:rsidR="00EF5A32">
        <w:tc>
          <w:tcPr>
            <w:tcW w:w="6150" w:type="dxa"/>
            <w:vAlign w:val="center"/>
          </w:tcPr>
          <w:p w:rsidR="00EF5A32" w:rsidRDefault="00EF5A32">
            <w:pPr>
              <w:pStyle w:val="ConsPlusNormal"/>
            </w:pPr>
            <w:r>
              <w:t>свыше 4700 до 5900</w:t>
            </w:r>
          </w:p>
        </w:tc>
        <w:tc>
          <w:tcPr>
            <w:tcW w:w="2872" w:type="dxa"/>
            <w:vAlign w:val="center"/>
          </w:tcPr>
          <w:p w:rsidR="00EF5A32" w:rsidRDefault="00EF5A32">
            <w:pPr>
              <w:pStyle w:val="ConsPlusNormal"/>
              <w:jc w:val="center"/>
            </w:pPr>
            <w:r>
              <w:t>10</w:t>
            </w:r>
          </w:p>
        </w:tc>
      </w:tr>
      <w:tr w:rsidR="00EF5A32">
        <w:tc>
          <w:tcPr>
            <w:tcW w:w="6150" w:type="dxa"/>
            <w:vAlign w:val="center"/>
          </w:tcPr>
          <w:p w:rsidR="00EF5A32" w:rsidRDefault="00EF5A32">
            <w:pPr>
              <w:pStyle w:val="ConsPlusNormal"/>
            </w:pPr>
            <w:r>
              <w:t>свыше 5900 до 7000</w:t>
            </w:r>
          </w:p>
        </w:tc>
        <w:tc>
          <w:tcPr>
            <w:tcW w:w="2872" w:type="dxa"/>
            <w:vAlign w:val="center"/>
          </w:tcPr>
          <w:p w:rsidR="00EF5A32" w:rsidRDefault="00EF5A32">
            <w:pPr>
              <w:pStyle w:val="ConsPlusNormal"/>
              <w:jc w:val="center"/>
            </w:pPr>
            <w:r>
              <w:t>11</w:t>
            </w:r>
          </w:p>
        </w:tc>
      </w:tr>
      <w:tr w:rsidR="00EF5A32">
        <w:tc>
          <w:tcPr>
            <w:tcW w:w="6150" w:type="dxa"/>
            <w:vAlign w:val="center"/>
          </w:tcPr>
          <w:p w:rsidR="00EF5A32" w:rsidRDefault="00EF5A32">
            <w:pPr>
              <w:pStyle w:val="ConsPlusNormal"/>
            </w:pPr>
            <w:r>
              <w:t>свыше 7000 до 8800</w:t>
            </w:r>
          </w:p>
        </w:tc>
        <w:tc>
          <w:tcPr>
            <w:tcW w:w="2872" w:type="dxa"/>
            <w:vAlign w:val="center"/>
          </w:tcPr>
          <w:p w:rsidR="00EF5A32" w:rsidRDefault="00EF5A32">
            <w:pPr>
              <w:pStyle w:val="ConsPlusNormal"/>
              <w:jc w:val="center"/>
            </w:pPr>
            <w:r>
              <w:t>13</w:t>
            </w:r>
          </w:p>
        </w:tc>
      </w:tr>
      <w:tr w:rsidR="00EF5A32">
        <w:tc>
          <w:tcPr>
            <w:tcW w:w="6150" w:type="dxa"/>
            <w:vAlign w:val="center"/>
          </w:tcPr>
          <w:p w:rsidR="00EF5A32" w:rsidRDefault="00EF5A32">
            <w:pPr>
              <w:pStyle w:val="ConsPlusNormal"/>
            </w:pPr>
            <w:r>
              <w:t>свыше 8800 до 10600</w:t>
            </w:r>
          </w:p>
        </w:tc>
        <w:tc>
          <w:tcPr>
            <w:tcW w:w="2872" w:type="dxa"/>
            <w:vAlign w:val="center"/>
          </w:tcPr>
          <w:p w:rsidR="00EF5A32" w:rsidRDefault="00EF5A32">
            <w:pPr>
              <w:pStyle w:val="ConsPlusNormal"/>
              <w:jc w:val="center"/>
            </w:pPr>
            <w:r>
              <w:t>15</w:t>
            </w:r>
          </w:p>
        </w:tc>
      </w:tr>
    </w:tbl>
    <w:p w:rsidR="00EF5A32" w:rsidRDefault="00EF5A32">
      <w:pPr>
        <w:pStyle w:val="ConsPlusNormal"/>
        <w:jc w:val="both"/>
      </w:pPr>
    </w:p>
    <w:p w:rsidR="00EF5A32" w:rsidRDefault="00EF5A32">
      <w:pPr>
        <w:pStyle w:val="ConsPlusNormal"/>
        <w:jc w:val="both"/>
      </w:pPr>
    </w:p>
    <w:p w:rsidR="00EF5A32" w:rsidRDefault="00EF5A32">
      <w:pPr>
        <w:pStyle w:val="ConsPlusNormal"/>
        <w:pBdr>
          <w:bottom w:val="single" w:sz="6" w:space="0" w:color="auto"/>
        </w:pBdr>
        <w:spacing w:before="100" w:after="100"/>
        <w:jc w:val="both"/>
        <w:rPr>
          <w:sz w:val="2"/>
          <w:szCs w:val="2"/>
        </w:rPr>
      </w:pPr>
    </w:p>
    <w:p w:rsidR="00D115BD" w:rsidRDefault="00D115BD"/>
    <w:sectPr w:rsidR="00D115BD" w:rsidSect="0033313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A32"/>
    <w:rsid w:val="00D115BD"/>
    <w:rsid w:val="00EF5A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F5A3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EF5A3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F5A32"/>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F5A3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EF5A3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EF5A3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70069&amp;dst=100025" TargetMode="External"/><Relationship Id="rId21" Type="http://schemas.openxmlformats.org/officeDocument/2006/relationships/hyperlink" Target="https://login.consultant.ru/link/?req=doc&amp;base=LAW&amp;n=470069&amp;dst=100017" TargetMode="External"/><Relationship Id="rId42" Type="http://schemas.openxmlformats.org/officeDocument/2006/relationships/hyperlink" Target="https://login.consultant.ru/link/?req=doc&amp;base=LAW&amp;n=466853&amp;dst=103919" TargetMode="External"/><Relationship Id="rId47" Type="http://schemas.openxmlformats.org/officeDocument/2006/relationships/hyperlink" Target="https://login.consultant.ru/link/?req=doc&amp;base=LAW&amp;n=466853&amp;dst=102071" TargetMode="External"/><Relationship Id="rId63" Type="http://schemas.openxmlformats.org/officeDocument/2006/relationships/hyperlink" Target="https://login.consultant.ru/link/?req=doc&amp;base=LAW&amp;n=475114&amp;dst=291" TargetMode="External"/><Relationship Id="rId68" Type="http://schemas.openxmlformats.org/officeDocument/2006/relationships/hyperlink" Target="https://login.consultant.ru/link/?req=doc&amp;base=LAW&amp;n=483131" TargetMode="External"/><Relationship Id="rId16" Type="http://schemas.openxmlformats.org/officeDocument/2006/relationships/hyperlink" Target="https://login.consultant.ru/link/?req=doc&amp;base=LAW&amp;n=471026&amp;dst=139" TargetMode="External"/><Relationship Id="rId11" Type="http://schemas.openxmlformats.org/officeDocument/2006/relationships/hyperlink" Target="https://login.consultant.ru/link/?req=doc&amp;base=LAW&amp;n=470069&amp;dst=100006" TargetMode="External"/><Relationship Id="rId24" Type="http://schemas.openxmlformats.org/officeDocument/2006/relationships/hyperlink" Target="https://login.consultant.ru/link/?req=doc&amp;base=LAW&amp;n=459765&amp;dst=100017" TargetMode="External"/><Relationship Id="rId32" Type="http://schemas.openxmlformats.org/officeDocument/2006/relationships/hyperlink" Target="https://login.consultant.ru/link/?req=doc&amp;base=LAW&amp;n=466853&amp;dst=13391" TargetMode="External"/><Relationship Id="rId37" Type="http://schemas.openxmlformats.org/officeDocument/2006/relationships/hyperlink" Target="https://login.consultant.ru/link/?req=doc&amp;base=LAW&amp;n=466853&amp;dst=13620" TargetMode="External"/><Relationship Id="rId40" Type="http://schemas.openxmlformats.org/officeDocument/2006/relationships/hyperlink" Target="https://login.consultant.ru/link/?req=doc&amp;base=LAW&amp;n=466853&amp;dst=237" TargetMode="External"/><Relationship Id="rId45" Type="http://schemas.openxmlformats.org/officeDocument/2006/relationships/hyperlink" Target="https://login.consultant.ru/link/?req=doc&amp;base=LAW&amp;n=466853&amp;dst=1354" TargetMode="External"/><Relationship Id="rId53" Type="http://schemas.openxmlformats.org/officeDocument/2006/relationships/hyperlink" Target="https://login.consultant.ru/link/?req=doc&amp;base=LAW&amp;n=430474" TargetMode="External"/><Relationship Id="rId58" Type="http://schemas.openxmlformats.org/officeDocument/2006/relationships/hyperlink" Target="https://login.consultant.ru/link/?req=doc&amp;base=LAW&amp;n=475114&amp;dst=2261" TargetMode="External"/><Relationship Id="rId66" Type="http://schemas.openxmlformats.org/officeDocument/2006/relationships/hyperlink" Target="https://login.consultant.ru/link/?req=doc&amp;base=LAW&amp;n=470069&amp;dst=100042" TargetMode="External"/><Relationship Id="rId74" Type="http://schemas.openxmlformats.org/officeDocument/2006/relationships/hyperlink" Target="https://login.consultant.ru/link/?req=doc&amp;base=LAW&amp;n=470069&amp;dst=100049" TargetMode="External"/><Relationship Id="rId79" Type="http://schemas.openxmlformats.org/officeDocument/2006/relationships/fontTable" Target="fontTable.xm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470069&amp;dst=100038" TargetMode="External"/><Relationship Id="rId19" Type="http://schemas.openxmlformats.org/officeDocument/2006/relationships/hyperlink" Target="https://login.consultant.ru/link/?req=doc&amp;base=LAW&amp;n=470069&amp;dst=100015" TargetMode="External"/><Relationship Id="rId14" Type="http://schemas.openxmlformats.org/officeDocument/2006/relationships/hyperlink" Target="https://login.consultant.ru/link/?req=doc&amp;base=LAW&amp;n=474449&amp;dst=100028" TargetMode="External"/><Relationship Id="rId22" Type="http://schemas.openxmlformats.org/officeDocument/2006/relationships/hyperlink" Target="https://login.consultant.ru/link/?req=doc&amp;base=LAW&amp;n=470069&amp;dst=100021" TargetMode="External"/><Relationship Id="rId27" Type="http://schemas.openxmlformats.org/officeDocument/2006/relationships/hyperlink" Target="https://login.consultant.ru/link/?req=doc&amp;base=LAW&amp;n=369219&amp;dst=100012" TargetMode="External"/><Relationship Id="rId30" Type="http://schemas.openxmlformats.org/officeDocument/2006/relationships/hyperlink" Target="https://login.consultant.ru/link/?req=doc&amp;base=LAW&amp;n=470069&amp;dst=100026" TargetMode="External"/><Relationship Id="rId35" Type="http://schemas.openxmlformats.org/officeDocument/2006/relationships/hyperlink" Target="https://login.consultant.ru/link/?req=doc&amp;base=LAW&amp;n=466853&amp;dst=13485" TargetMode="External"/><Relationship Id="rId43" Type="http://schemas.openxmlformats.org/officeDocument/2006/relationships/hyperlink" Target="https://login.consultant.ru/link/?req=doc&amp;base=LAW&amp;n=466853&amp;dst=103939" TargetMode="External"/><Relationship Id="rId48" Type="http://schemas.openxmlformats.org/officeDocument/2006/relationships/hyperlink" Target="https://login.consultant.ru/link/?req=doc&amp;base=LAW&amp;n=466853&amp;dst=4308" TargetMode="External"/><Relationship Id="rId56" Type="http://schemas.openxmlformats.org/officeDocument/2006/relationships/hyperlink" Target="https://login.consultant.ru/link/?req=doc&amp;base=LAW&amp;n=372741&amp;dst=100487" TargetMode="External"/><Relationship Id="rId64" Type="http://schemas.openxmlformats.org/officeDocument/2006/relationships/hyperlink" Target="https://login.consultant.ru/link/?req=doc&amp;base=LAW&amp;n=473773&amp;dst=68" TargetMode="External"/><Relationship Id="rId69" Type="http://schemas.openxmlformats.org/officeDocument/2006/relationships/hyperlink" Target="https://login.consultant.ru/link/?req=doc&amp;base=LAW&amp;n=329555" TargetMode="External"/><Relationship Id="rId77" Type="http://schemas.openxmlformats.org/officeDocument/2006/relationships/hyperlink" Target="https://login.consultant.ru/link/?req=doc&amp;base=LAW&amp;n=470069&amp;dst=100053" TargetMode="External"/><Relationship Id="rId8" Type="http://schemas.openxmlformats.org/officeDocument/2006/relationships/hyperlink" Target="https://login.consultant.ru/link/?req=doc&amp;base=LAW&amp;n=471026&amp;dst=1985" TargetMode="External"/><Relationship Id="rId51" Type="http://schemas.openxmlformats.org/officeDocument/2006/relationships/hyperlink" Target="https://login.consultant.ru/link/?req=doc&amp;base=LAW&amp;n=475114&amp;dst=742" TargetMode="External"/><Relationship Id="rId72" Type="http://schemas.openxmlformats.org/officeDocument/2006/relationships/hyperlink" Target="https://login.consultant.ru/link/?req=doc&amp;base=LAW&amp;n=470069&amp;dst=100046"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login.consultant.ru/link/?req=doc&amp;base=LAW&amp;n=471026&amp;dst=3044" TargetMode="External"/><Relationship Id="rId17" Type="http://schemas.openxmlformats.org/officeDocument/2006/relationships/hyperlink" Target="https://login.consultant.ru/link/?req=doc&amp;base=LAW&amp;n=471026&amp;dst=1665" TargetMode="External"/><Relationship Id="rId25" Type="http://schemas.openxmlformats.org/officeDocument/2006/relationships/hyperlink" Target="https://login.consultant.ru/link/?req=doc&amp;base=LAW&amp;n=470069&amp;dst=100024" TargetMode="External"/><Relationship Id="rId33" Type="http://schemas.openxmlformats.org/officeDocument/2006/relationships/hyperlink" Target="https://login.consultant.ru/link/?req=doc&amp;base=LAW&amp;n=466853&amp;dst=13402" TargetMode="External"/><Relationship Id="rId38" Type="http://schemas.openxmlformats.org/officeDocument/2006/relationships/hyperlink" Target="https://login.consultant.ru/link/?req=doc&amp;base=LAW&amp;n=466853&amp;dst=203" TargetMode="External"/><Relationship Id="rId46" Type="http://schemas.openxmlformats.org/officeDocument/2006/relationships/hyperlink" Target="https://login.consultant.ru/link/?req=doc&amp;base=LAW&amp;n=466853&amp;dst=1391" TargetMode="External"/><Relationship Id="rId59" Type="http://schemas.openxmlformats.org/officeDocument/2006/relationships/hyperlink" Target="https://login.consultant.ru/link/?req=doc&amp;base=LAW&amp;n=157691" TargetMode="External"/><Relationship Id="rId67" Type="http://schemas.openxmlformats.org/officeDocument/2006/relationships/hyperlink" Target="https://login.consultant.ru/link/?req=doc&amp;base=LAW&amp;n=482901" TargetMode="External"/><Relationship Id="rId20" Type="http://schemas.openxmlformats.org/officeDocument/2006/relationships/hyperlink" Target="https://login.consultant.ru/link/?req=doc&amp;base=LAW&amp;n=470069&amp;dst=100016" TargetMode="External"/><Relationship Id="rId41" Type="http://schemas.openxmlformats.org/officeDocument/2006/relationships/hyperlink" Target="https://login.consultant.ru/link/?req=doc&amp;base=LAW&amp;n=466853&amp;dst=103916" TargetMode="External"/><Relationship Id="rId54" Type="http://schemas.openxmlformats.org/officeDocument/2006/relationships/hyperlink" Target="https://login.consultant.ru/link/?req=doc&amp;base=LAW&amp;n=441059" TargetMode="External"/><Relationship Id="rId62" Type="http://schemas.openxmlformats.org/officeDocument/2006/relationships/hyperlink" Target="https://login.consultant.ru/link/?req=doc&amp;base=LAW&amp;n=353513" TargetMode="External"/><Relationship Id="rId70" Type="http://schemas.openxmlformats.org/officeDocument/2006/relationships/hyperlink" Target="https://login.consultant.ru/link/?req=doc&amp;base=LAW&amp;n=470069&amp;dst=100043" TargetMode="External"/><Relationship Id="rId75" Type="http://schemas.openxmlformats.org/officeDocument/2006/relationships/hyperlink" Target="https://login.consultant.ru/link/?req=doc&amp;base=LAW&amp;n=471026&amp;dst=3724" TargetMode="External"/><Relationship Id="rId1" Type="http://schemas.openxmlformats.org/officeDocument/2006/relationships/styles" Target="styles.xml"/><Relationship Id="rId6" Type="http://schemas.openxmlformats.org/officeDocument/2006/relationships/hyperlink" Target="https://login.consultant.ru/link/?req=doc&amp;base=LAW&amp;n=470069&amp;dst=100006" TargetMode="External"/><Relationship Id="rId15" Type="http://schemas.openxmlformats.org/officeDocument/2006/relationships/hyperlink" Target="https://login.consultant.ru/link/?req=doc&amp;base=LAW&amp;n=470069&amp;dst=100010" TargetMode="External"/><Relationship Id="rId23" Type="http://schemas.openxmlformats.org/officeDocument/2006/relationships/hyperlink" Target="https://login.consultant.ru/link/?req=doc&amp;base=LAW&amp;n=470069&amp;dst=100023" TargetMode="External"/><Relationship Id="rId28" Type="http://schemas.openxmlformats.org/officeDocument/2006/relationships/hyperlink" Target="https://login.consultant.ru/link/?req=doc&amp;base=LAW&amp;n=471026&amp;dst=139" TargetMode="External"/><Relationship Id="rId36" Type="http://schemas.openxmlformats.org/officeDocument/2006/relationships/hyperlink" Target="https://login.consultant.ru/link/?req=doc&amp;base=LAW&amp;n=466853&amp;dst=13591" TargetMode="External"/><Relationship Id="rId49" Type="http://schemas.openxmlformats.org/officeDocument/2006/relationships/hyperlink" Target="https://login.consultant.ru/link/?req=doc&amp;base=LAW&amp;n=431832" TargetMode="External"/><Relationship Id="rId57" Type="http://schemas.openxmlformats.org/officeDocument/2006/relationships/hyperlink" Target="https://login.consultant.ru/link/?req=doc&amp;base=LAW&amp;n=470069&amp;dst=100030" TargetMode="External"/><Relationship Id="rId10" Type="http://schemas.openxmlformats.org/officeDocument/2006/relationships/hyperlink" Target="https://login.consultant.ru/link/?req=doc&amp;base=LAW&amp;n=485212&amp;dst=100292" TargetMode="External"/><Relationship Id="rId31" Type="http://schemas.openxmlformats.org/officeDocument/2006/relationships/hyperlink" Target="https://login.consultant.ru/link/?req=doc&amp;base=LAW&amp;n=466853&amp;dst=13383" TargetMode="External"/><Relationship Id="rId44" Type="http://schemas.openxmlformats.org/officeDocument/2006/relationships/hyperlink" Target="https://login.consultant.ru/link/?req=doc&amp;base=LAW&amp;n=466853&amp;dst=1351" TargetMode="External"/><Relationship Id="rId52" Type="http://schemas.openxmlformats.org/officeDocument/2006/relationships/hyperlink" Target="https://login.consultant.ru/link/?req=doc&amp;base=LAW&amp;n=430473" TargetMode="External"/><Relationship Id="rId60" Type="http://schemas.openxmlformats.org/officeDocument/2006/relationships/hyperlink" Target="https://login.consultant.ru/link/?req=doc&amp;base=LAW&amp;n=470069&amp;dst=100036" TargetMode="External"/><Relationship Id="rId65" Type="http://schemas.openxmlformats.org/officeDocument/2006/relationships/hyperlink" Target="https://login.consultant.ru/link/?req=doc&amp;base=LAW&amp;n=470069&amp;dst=100039" TargetMode="External"/><Relationship Id="rId73" Type="http://schemas.openxmlformats.org/officeDocument/2006/relationships/hyperlink" Target="https://login.consultant.ru/link/?req=doc&amp;base=LAW&amp;n=470069&amp;dst=100047" TargetMode="External"/><Relationship Id="rId78" Type="http://schemas.openxmlformats.org/officeDocument/2006/relationships/hyperlink" Target="https://login.consultant.ru/link/?req=doc&amp;base=LAW&amp;n=470069&amp;dst=10005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71026&amp;dst=2009" TargetMode="External"/><Relationship Id="rId13" Type="http://schemas.openxmlformats.org/officeDocument/2006/relationships/hyperlink" Target="https://login.consultant.ru/link/?req=doc&amp;base=LAW&amp;n=476107" TargetMode="External"/><Relationship Id="rId18" Type="http://schemas.openxmlformats.org/officeDocument/2006/relationships/hyperlink" Target="https://login.consultant.ru/link/?req=doc&amp;base=LAW&amp;n=471020&amp;dst=100040" TargetMode="External"/><Relationship Id="rId39" Type="http://schemas.openxmlformats.org/officeDocument/2006/relationships/hyperlink" Target="https://login.consultant.ru/link/?req=doc&amp;base=LAW&amp;n=466853&amp;dst=208" TargetMode="External"/><Relationship Id="rId34" Type="http://schemas.openxmlformats.org/officeDocument/2006/relationships/hyperlink" Target="https://login.consultant.ru/link/?req=doc&amp;base=LAW&amp;n=466853&amp;dst=13470" TargetMode="External"/><Relationship Id="rId50" Type="http://schemas.openxmlformats.org/officeDocument/2006/relationships/hyperlink" Target="https://login.consultant.ru/link/?req=doc&amp;base=LAW&amp;n=475114&amp;dst=101067" TargetMode="External"/><Relationship Id="rId55" Type="http://schemas.openxmlformats.org/officeDocument/2006/relationships/hyperlink" Target="https://login.consultant.ru/link/?req=doc&amp;base=LAW&amp;n=470069&amp;dst=100029" TargetMode="External"/><Relationship Id="rId76" Type="http://schemas.openxmlformats.org/officeDocument/2006/relationships/hyperlink" Target="https://login.consultant.ru/link/?req=doc&amp;base=LAW&amp;n=470069&amp;dst=100051" TargetMode="External"/><Relationship Id="rId7" Type="http://schemas.openxmlformats.org/officeDocument/2006/relationships/hyperlink" Target="https://login.consultant.ru/link/?req=doc&amp;base=LAW&amp;n=471026&amp;dst=1983" TargetMode="External"/><Relationship Id="rId71" Type="http://schemas.openxmlformats.org/officeDocument/2006/relationships/hyperlink" Target="https://login.consultant.ru/link/?req=doc&amp;base=LAW&amp;n=470069&amp;dst=100045" TargetMode="External"/><Relationship Id="rId2" Type="http://schemas.microsoft.com/office/2007/relationships/stylesWithEffects" Target="stylesWithEffects.xml"/><Relationship Id="rId29" Type="http://schemas.openxmlformats.org/officeDocument/2006/relationships/hyperlink" Target="https://login.consultant.ru/link/?req=doc&amp;base=LAW&amp;n=473773&amp;dst=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7255</Words>
  <Characters>41359</Characters>
  <Application>Microsoft Office Word</Application>
  <DocSecurity>0</DocSecurity>
  <Lines>344</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В. Кузнецова</dc:creator>
  <cp:lastModifiedBy>Татьяна В. Кузнецова</cp:lastModifiedBy>
  <cp:revision>1</cp:revision>
  <dcterms:created xsi:type="dcterms:W3CDTF">2024-10-17T11:58:00Z</dcterms:created>
  <dcterms:modified xsi:type="dcterms:W3CDTF">2024-10-17T11:59:00Z</dcterms:modified>
</cp:coreProperties>
</file>