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0"/>
              </w:rPr>
              <w:t xml:space="preserve">Приказ Минстроя России от 27.10.2025 N 655/пр</w:t>
              <w:br/>
              <w:t xml:space="preserve">"Об утверждении Порядка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w:t>
              <w:br/>
              <w:t xml:space="preserve">(Зарегистрировано в Минюсте России 27.11.2025 N 84317)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27 ноября 2025 г. N 84317</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СТРОИТЕЛЬСТВА И ЖИЛИЩНО-КОММУНАЛЬНОГО</w:t>
      </w:r>
    </w:p>
    <w:p>
      <w:pPr>
        <w:pStyle w:val="2"/>
        <w:jc w:val="center"/>
      </w:pPr>
      <w:r>
        <w:rPr>
          <w:sz w:val="24"/>
        </w:rPr>
        <w:t xml:space="preserve">ХОЗЯЙСТВА РОССИЙСКОЙ ФЕДЕРАЦИИ</w:t>
      </w:r>
    </w:p>
    <w:p>
      <w:pPr>
        <w:pStyle w:val="2"/>
        <w:jc w:val="both"/>
      </w:pPr>
      <w:r>
        <w:rPr>
          <w:sz w:val="24"/>
        </w:rPr>
      </w:r>
    </w:p>
    <w:p>
      <w:pPr>
        <w:pStyle w:val="2"/>
        <w:jc w:val="center"/>
      </w:pPr>
      <w:r>
        <w:rPr>
          <w:sz w:val="24"/>
        </w:rPr>
        <w:t xml:space="preserve">ПРИКАЗ</w:t>
      </w:r>
    </w:p>
    <w:p>
      <w:pPr>
        <w:pStyle w:val="2"/>
        <w:jc w:val="center"/>
      </w:pPr>
      <w:r>
        <w:rPr>
          <w:sz w:val="24"/>
        </w:rPr>
        <w:t xml:space="preserve">от 27 октября 2025 г. N 655/пр</w:t>
      </w:r>
    </w:p>
    <w:p>
      <w:pPr>
        <w:pStyle w:val="2"/>
        <w:jc w:val="both"/>
      </w:pPr>
      <w:r>
        <w:rPr>
          <w:sz w:val="24"/>
        </w:rPr>
      </w:r>
    </w:p>
    <w:p>
      <w:pPr>
        <w:pStyle w:val="2"/>
        <w:jc w:val="center"/>
      </w:pPr>
      <w:r>
        <w:rPr>
          <w:sz w:val="24"/>
        </w:rPr>
        <w:t xml:space="preserve">ОБ УТВЕРЖДЕНИИ ПОРЯДКА</w:t>
      </w:r>
    </w:p>
    <w:p>
      <w:pPr>
        <w:pStyle w:val="2"/>
        <w:jc w:val="center"/>
      </w:pPr>
      <w:r>
        <w:rPr>
          <w:sz w:val="24"/>
        </w:rPr>
        <w:t xml:space="preserve">УВЕДОМЛЕНИЯ САМОРЕГУЛИРУЕМЫХ ОРГАНИЗАЦИЙ В ОБЛАСТИ</w:t>
      </w:r>
    </w:p>
    <w:p>
      <w:pPr>
        <w:pStyle w:val="2"/>
        <w:jc w:val="center"/>
      </w:pPr>
      <w:r>
        <w:rPr>
          <w:sz w:val="24"/>
        </w:rPr>
        <w:t xml:space="preserve">ИНЖЕНЕРНЫХ ИЗЫСКАНИЙ, АРХИТЕКТУРНО-СТРОИТЕЛЬНОГО</w:t>
      </w:r>
    </w:p>
    <w:p>
      <w:pPr>
        <w:pStyle w:val="2"/>
        <w:jc w:val="center"/>
      </w:pPr>
      <w:r>
        <w:rPr>
          <w:sz w:val="24"/>
        </w:rPr>
        <w:t xml:space="preserve">ПРОЕКТИРОВАНИЯ, СТРОИТЕЛЬСТВА, РЕКОНСТРУКЦИИ, КАПИТАЛЬНОГО</w:t>
      </w:r>
    </w:p>
    <w:p>
      <w:pPr>
        <w:pStyle w:val="2"/>
        <w:jc w:val="center"/>
      </w:pPr>
      <w:r>
        <w:rPr>
          <w:sz w:val="24"/>
        </w:rPr>
        <w:t xml:space="preserve">РЕМОНТА, СНОСА ОБЪЕКТОВ КАПИТАЛЬНОГО СТРОИТЕЛЬСТВА</w:t>
      </w:r>
    </w:p>
    <w:p>
      <w:pPr>
        <w:pStyle w:val="2"/>
        <w:jc w:val="center"/>
      </w:pPr>
      <w:r>
        <w:rPr>
          <w:sz w:val="24"/>
        </w:rPr>
        <w:t xml:space="preserve">О ЗАКЛЮЧЕННЫХ ЧЛЕНОМ ТАКОЙ САМОРЕГУЛИРУЕМОЙ ОРГАНИЗАЦИИ</w:t>
      </w:r>
    </w:p>
    <w:p>
      <w:pPr>
        <w:pStyle w:val="2"/>
        <w:jc w:val="center"/>
      </w:pPr>
      <w:r>
        <w:rPr>
          <w:sz w:val="24"/>
        </w:rPr>
        <w:t xml:space="preserve">ДОГОВОРАХ ПОДРЯДА НА ВЫПОЛНЕНИЕ ИНЖЕНЕРНЫХ ИЗЫСКАНИЙ,</w:t>
      </w:r>
    </w:p>
    <w:p>
      <w:pPr>
        <w:pStyle w:val="2"/>
        <w:jc w:val="center"/>
      </w:pPr>
      <w:r>
        <w:rPr>
          <w:sz w:val="24"/>
        </w:rPr>
        <w:t xml:space="preserve">ПОДГОТОВКУ ПРОЕКТНОЙ ДОКУМЕНТАЦИИ, ДОГОВОРАХ СТРОИТЕЛЬНОГО</w:t>
      </w:r>
    </w:p>
    <w:p>
      <w:pPr>
        <w:pStyle w:val="2"/>
        <w:jc w:val="center"/>
      </w:pPr>
      <w:r>
        <w:rPr>
          <w:sz w:val="24"/>
        </w:rPr>
        <w:t xml:space="preserve">ПОДРЯДА, ДОГОВОРАХ ПОДРЯДА НА ОСУЩЕСТВЛЕНИЕ СНОСА,</w:t>
      </w:r>
    </w:p>
    <w:p>
      <w:pPr>
        <w:pStyle w:val="2"/>
        <w:jc w:val="center"/>
      </w:pPr>
      <w:r>
        <w:rPr>
          <w:sz w:val="24"/>
        </w:rPr>
        <w:t xml:space="preserve">А ТАКЖЕ О ФАКТИЧЕСКОМ СОВОКУПНОМ РАЗМЕРЕ ОБЯЗАТЕЛЬСТВ</w:t>
      </w:r>
    </w:p>
    <w:p>
      <w:pPr>
        <w:pStyle w:val="2"/>
        <w:jc w:val="center"/>
      </w:pPr>
      <w:r>
        <w:rPr>
          <w:sz w:val="24"/>
        </w:rPr>
        <w:t xml:space="preserve">ПО ДОГОВОРАМ, ЗАКЛЮЧЕННЫМ С ИСПОЛЬЗОВАНИЕМ</w:t>
      </w:r>
    </w:p>
    <w:p>
      <w:pPr>
        <w:pStyle w:val="2"/>
        <w:jc w:val="center"/>
      </w:pPr>
      <w:r>
        <w:rPr>
          <w:sz w:val="24"/>
        </w:rPr>
        <w:t xml:space="preserve">КОНКУРЕНТНЫХ СПОСОБОВ ЗАКЛЮЧЕНИЯ ДОГОВОРОВ</w:t>
      </w:r>
    </w:p>
    <w:p>
      <w:pPr>
        <w:pStyle w:val="0"/>
        <w:jc w:val="both"/>
      </w:pPr>
      <w:r>
        <w:rPr>
          <w:sz w:val="24"/>
        </w:rPr>
      </w:r>
    </w:p>
    <w:p>
      <w:pPr>
        <w:pStyle w:val="0"/>
        <w:ind w:firstLine="540"/>
        <w:jc w:val="both"/>
      </w:pPr>
      <w:r>
        <w:rPr>
          <w:sz w:val="24"/>
        </w:rPr>
        <w:t xml:space="preserve">В соответствии с </w:t>
      </w:r>
      <w:hyperlink w:history="0" r:id="rId8" w:tooltip="&quot;Градостроительный кодекс Российской Федерации&quot; от 29.12.2004 N 190-ФЗ (ред. от 31.07.2025) {КонсультантПлюс}">
        <w:r>
          <w:rPr>
            <w:sz w:val="24"/>
            <w:color w:val="0000ff"/>
          </w:rPr>
          <w:t xml:space="preserve">частью 4 статьи 55.8</w:t>
        </w:r>
      </w:hyperlink>
      <w:r>
        <w:rPr>
          <w:sz w:val="24"/>
        </w:rPr>
        <w:t xml:space="preserve"> Градостроительного кодекса Российской Федерации, </w:t>
      </w:r>
      <w:hyperlink w:history="0" r:id="rId9" w:tooltip="Постановление Правительства РФ от 18.11.2013 N 1038 (ред. от 09.06.2025) &quot;О Министерстве строительства и жилищно-коммунального хозяйства Российской Федерации&quot; (вместе с &quot;Положением о Министерстве строительства и жилищно-коммунального хозяйства Российской Федерации&quot;) {КонсультантПлюс}">
        <w:r>
          <w:rPr>
            <w:sz w:val="24"/>
            <w:color w:val="0000ff"/>
          </w:rPr>
          <w:t xml:space="preserve">пунктом 1</w:t>
        </w:r>
      </w:hyperlink>
      <w:r>
        <w:rPr>
          <w:sz w:val="24"/>
        </w:rP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приказываю:</w:t>
      </w:r>
    </w:p>
    <w:p>
      <w:pPr>
        <w:pStyle w:val="0"/>
        <w:spacing w:before="240" w:lineRule="auto"/>
        <w:ind w:firstLine="540"/>
        <w:jc w:val="both"/>
      </w:pPr>
      <w:r>
        <w:rPr>
          <w:sz w:val="24"/>
        </w:rPr>
        <w:t xml:space="preserve">1. Утвердить прилагаемый </w:t>
      </w:r>
      <w:hyperlink w:history="0" w:anchor="P41" w:tooltip="ПОРЯДОК">
        <w:r>
          <w:rPr>
            <w:sz w:val="24"/>
            <w:color w:val="0000ff"/>
          </w:rPr>
          <w:t xml:space="preserve">Порядок</w:t>
        </w:r>
      </w:hyperlink>
      <w:r>
        <w:rPr>
          <w:sz w:val="24"/>
        </w:rPr>
        <w:t xml:space="preserve">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w:t>
      </w:r>
    </w:p>
    <w:p>
      <w:pPr>
        <w:pStyle w:val="0"/>
        <w:spacing w:before="240" w:lineRule="auto"/>
        <w:ind w:firstLine="540"/>
        <w:jc w:val="both"/>
      </w:pPr>
      <w:r>
        <w:rPr>
          <w:sz w:val="24"/>
        </w:rPr>
        <w:t xml:space="preserve">2. Признать утратившим силу </w:t>
      </w:r>
      <w:hyperlink w:history="0" r:id="rId10" w:tooltip="Приказ Минстроя России от 10.04.2017 N 700/пр &quot;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КонсультантПлюс}">
        <w:r>
          <w:rPr>
            <w:sz w:val="24"/>
            <w:color w:val="0000ff"/>
          </w:rPr>
          <w:t xml:space="preserve">приказ</w:t>
        </w:r>
      </w:hyperlink>
      <w:r>
        <w:rPr>
          <w:sz w:val="24"/>
        </w:rPr>
        <w:t xml:space="preserve"> Министерства строительства и жилищно-коммунального хозяйства Российской Федерации от 10 апреля 2017 г. N 700/пр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(зарегистрирован Министерством юстиции Российской Федерации 7 июня 2017 г., регистрационный N 46983).</w:t>
      </w:r>
    </w:p>
    <w:p>
      <w:pPr>
        <w:pStyle w:val="0"/>
        <w:spacing w:before="240" w:lineRule="auto"/>
        <w:ind w:firstLine="540"/>
        <w:jc w:val="both"/>
      </w:pPr>
      <w:r>
        <w:rPr>
          <w:sz w:val="24"/>
        </w:rPr>
        <w:t xml:space="preserve">3. Настоящий приказ вступает в силу с 1 марта 2026 г. и действует в течение 6 лет со дня его вступления в силу.</w:t>
      </w:r>
    </w:p>
    <w:p>
      <w:pPr>
        <w:pStyle w:val="0"/>
        <w:jc w:val="both"/>
      </w:pPr>
      <w:r>
        <w:rPr>
          <w:sz w:val="24"/>
        </w:rPr>
      </w:r>
    </w:p>
    <w:p>
      <w:pPr>
        <w:pStyle w:val="0"/>
        <w:jc w:val="right"/>
      </w:pPr>
      <w:r>
        <w:rPr>
          <w:sz w:val="24"/>
        </w:rPr>
        <w:t xml:space="preserve">Министр</w:t>
      </w:r>
    </w:p>
    <w:p>
      <w:pPr>
        <w:pStyle w:val="0"/>
        <w:jc w:val="right"/>
      </w:pPr>
      <w:r>
        <w:rPr>
          <w:sz w:val="24"/>
        </w:rPr>
        <w:t xml:space="preserve">И.Э.ФАЙЗУЛЛИН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Министерства строительства</w:t>
      </w:r>
    </w:p>
    <w:p>
      <w:pPr>
        <w:pStyle w:val="0"/>
        <w:jc w:val="right"/>
      </w:pPr>
      <w:r>
        <w:rPr>
          <w:sz w:val="24"/>
        </w:rPr>
        <w:t xml:space="preserve">и жилищно-коммунального хозяйства</w:t>
      </w:r>
    </w:p>
    <w:p>
      <w:pPr>
        <w:pStyle w:val="0"/>
        <w:jc w:val="right"/>
      </w:pPr>
      <w:r>
        <w:rPr>
          <w:sz w:val="24"/>
        </w:rPr>
        <w:t xml:space="preserve">Российской Федерации</w:t>
      </w:r>
    </w:p>
    <w:p>
      <w:pPr>
        <w:pStyle w:val="0"/>
        <w:jc w:val="right"/>
      </w:pPr>
      <w:r>
        <w:rPr>
          <w:sz w:val="24"/>
        </w:rPr>
        <w:t xml:space="preserve">от 27 октября 2025 г. N 655/пр</w:t>
      </w:r>
    </w:p>
    <w:p>
      <w:pPr>
        <w:pStyle w:val="0"/>
        <w:jc w:val="both"/>
      </w:pPr>
      <w:r>
        <w:rPr>
          <w:sz w:val="24"/>
        </w:rPr>
      </w:r>
    </w:p>
    <w:bookmarkStart w:id="41" w:name="P41"/>
    <w:bookmarkEnd w:id="41"/>
    <w:p>
      <w:pPr>
        <w:pStyle w:val="2"/>
        <w:jc w:val="center"/>
      </w:pPr>
      <w:r>
        <w:rPr>
          <w:sz w:val="24"/>
        </w:rPr>
        <w:t xml:space="preserve">ПОРЯДОК</w:t>
      </w:r>
    </w:p>
    <w:p>
      <w:pPr>
        <w:pStyle w:val="2"/>
        <w:jc w:val="center"/>
      </w:pPr>
      <w:r>
        <w:rPr>
          <w:sz w:val="24"/>
        </w:rPr>
        <w:t xml:space="preserve">УВЕДОМЛЕНИЯ САМОРЕГУЛИРУЕМЫХ ОРГАНИЗАЦИЙ В ОБЛАСТИ</w:t>
      </w:r>
    </w:p>
    <w:p>
      <w:pPr>
        <w:pStyle w:val="2"/>
        <w:jc w:val="center"/>
      </w:pPr>
      <w:r>
        <w:rPr>
          <w:sz w:val="24"/>
        </w:rPr>
        <w:t xml:space="preserve">ИНЖЕНЕРНЫХ ИЗЫСКАНИЙ, АРХИТЕКТУРНО-СТРОИТЕЛЬНОГО</w:t>
      </w:r>
    </w:p>
    <w:p>
      <w:pPr>
        <w:pStyle w:val="2"/>
        <w:jc w:val="center"/>
      </w:pPr>
      <w:r>
        <w:rPr>
          <w:sz w:val="24"/>
        </w:rPr>
        <w:t xml:space="preserve">ПРОЕКТИРОВАНИЯ, СТРОИТЕЛЬСТВА, РЕКОНСТРУКЦИИ, КАПИТАЛЬНОГО</w:t>
      </w:r>
    </w:p>
    <w:p>
      <w:pPr>
        <w:pStyle w:val="2"/>
        <w:jc w:val="center"/>
      </w:pPr>
      <w:r>
        <w:rPr>
          <w:sz w:val="24"/>
        </w:rPr>
        <w:t xml:space="preserve">РЕМОНТА, СНОСА ОБЪЕКТОВ КАПИТАЛЬНОГО СТРОИТЕЛЬСТВА</w:t>
      </w:r>
    </w:p>
    <w:p>
      <w:pPr>
        <w:pStyle w:val="2"/>
        <w:jc w:val="center"/>
      </w:pPr>
      <w:r>
        <w:rPr>
          <w:sz w:val="24"/>
        </w:rPr>
        <w:t xml:space="preserve">О ЗАКЛЮЧЕННЫХ ЧЛЕНОМ ТАКОЙ САМОРЕГУЛИРУЕМОЙ ОРГАНИЗАЦИИ</w:t>
      </w:r>
    </w:p>
    <w:p>
      <w:pPr>
        <w:pStyle w:val="2"/>
        <w:jc w:val="center"/>
      </w:pPr>
      <w:r>
        <w:rPr>
          <w:sz w:val="24"/>
        </w:rPr>
        <w:t xml:space="preserve">ДОГОВОРАХ ПОДРЯДА НА ВЫПОЛНЕНИЕ ИНЖЕНЕРНЫХ ИЗЫСКАНИЙ,</w:t>
      </w:r>
    </w:p>
    <w:p>
      <w:pPr>
        <w:pStyle w:val="2"/>
        <w:jc w:val="center"/>
      </w:pPr>
      <w:r>
        <w:rPr>
          <w:sz w:val="24"/>
        </w:rPr>
        <w:t xml:space="preserve">ПОДГОТОВКУ ПРОЕКТНОЙ ДОКУМЕНТАЦИИ, ДОГОВОРАХ СТРОИТЕЛЬНОГО</w:t>
      </w:r>
    </w:p>
    <w:p>
      <w:pPr>
        <w:pStyle w:val="2"/>
        <w:jc w:val="center"/>
      </w:pPr>
      <w:r>
        <w:rPr>
          <w:sz w:val="24"/>
        </w:rPr>
        <w:t xml:space="preserve">ПОДРЯДА, ДОГОВОРАХ ПОДРЯДА НА ОСУЩЕСТВЛЕНИЕ СНОСА,</w:t>
      </w:r>
    </w:p>
    <w:p>
      <w:pPr>
        <w:pStyle w:val="2"/>
        <w:jc w:val="center"/>
      </w:pPr>
      <w:r>
        <w:rPr>
          <w:sz w:val="24"/>
        </w:rPr>
        <w:t xml:space="preserve">А ТАКЖЕ О ФАКТИЧЕСКОМ СОВОКУПНОМ РАЗМЕРЕ ОБЯЗАТЕЛЬСТВ</w:t>
      </w:r>
    </w:p>
    <w:p>
      <w:pPr>
        <w:pStyle w:val="2"/>
        <w:jc w:val="center"/>
      </w:pPr>
      <w:r>
        <w:rPr>
          <w:sz w:val="24"/>
        </w:rPr>
        <w:t xml:space="preserve">ПО ДОГОВОРАМ, ЗАКЛЮЧЕННЫМ С ИСПОЛЬЗОВАНИЕМ</w:t>
      </w:r>
    </w:p>
    <w:p>
      <w:pPr>
        <w:pStyle w:val="2"/>
        <w:jc w:val="center"/>
      </w:pPr>
      <w:r>
        <w:rPr>
          <w:sz w:val="24"/>
        </w:rPr>
        <w:t xml:space="preserve">КОНКУРЕНТНЫХ СПОСОБОВ ЗАКЛЮЧЕНИЯ ДОГОВОРОВ</w:t>
      </w:r>
    </w:p>
    <w:p>
      <w:pPr>
        <w:pStyle w:val="0"/>
        <w:jc w:val="both"/>
      </w:pPr>
      <w:r>
        <w:rPr>
          <w:sz w:val="24"/>
        </w:rPr>
      </w:r>
    </w:p>
    <w:p>
      <w:pPr>
        <w:pStyle w:val="0"/>
        <w:ind w:firstLine="540"/>
        <w:jc w:val="both"/>
      </w:pPr>
      <w:r>
        <w:rPr>
          <w:sz w:val="24"/>
        </w:rPr>
        <w:t xml:space="preserve">1. Член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саморегулируемая организация) обязан уведомлять саморегулируемую организацию о заключенных им договорах, указанных в </w:t>
      </w:r>
      <w:hyperlink w:history="0" w:anchor="P65" w:tooltip="а) сведения о являющемся членом саморегулируемой организации юридическом лице (полное и (или) сокращенное (при наличии) наименование юридического лица, адрес юридического лица в пределах места нахождения юридического лица, основной государственный регистрационный номер, идентификационный номер налогоплательщика, дата приема в члены саморегулируемой организации) или индивидуальном предпринимателе (фамилия, имя, отчество (последнее - при наличии), место жительства в Российской Федерации, основной государст...">
        <w:r>
          <w:rPr>
            <w:sz w:val="24"/>
            <w:color w:val="0000ff"/>
          </w:rPr>
          <w:t xml:space="preserve">подпунктах "а"</w:t>
        </w:r>
      </w:hyperlink>
      <w:r>
        <w:rPr>
          <w:sz w:val="24"/>
        </w:rPr>
        <w:t xml:space="preserve"> - "г" </w:t>
      </w:r>
      <w:hyperlink w:history="0" w:anchor="P64" w:tooltip="3. Уведомление должно содержать:">
        <w:r>
          <w:rPr>
            <w:sz w:val="24"/>
            <w:color w:val="0000ff"/>
          </w:rPr>
          <w:t xml:space="preserve">пункта 3</w:t>
        </w:r>
      </w:hyperlink>
      <w:r>
        <w:rPr>
          <w:sz w:val="24"/>
        </w:rPr>
        <w:t xml:space="preserve"> настоящего Порядка, а также о фактическом совокупном размере обязательств по договорам, заключенным с использованием конкурентных способов заключения договоров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договоры, заключенные с использованием конкурентных способов заключения договоров) &lt;*&gt;, в срок, установленный </w:t>
      </w:r>
      <w:hyperlink w:history="0" r:id="rId11" w:tooltip="&quot;Градостроительный кодекс Российской Федерации&quot; от 29.12.2004 N 190-ФЗ (ред. от 31.07.2025) {КонсультантПлюс}">
        <w:r>
          <w:rPr>
            <w:sz w:val="24"/>
            <w:color w:val="0000ff"/>
          </w:rPr>
          <w:t xml:space="preserve">частью 4 статьи 55.8</w:t>
        </w:r>
      </w:hyperlink>
      <w:r>
        <w:rPr>
          <w:sz w:val="24"/>
        </w:rPr>
        <w:t xml:space="preserve"> Градостроительного кодекса Российской Федерации (далее - Кодекс).</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w:t>
      </w:r>
      <w:hyperlink w:history="0" r:id="rId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 2 статьи 24</w:t>
        </w:r>
      </w:hyperlink>
      <w:r>
        <w:rPr>
          <w:sz w:val="24"/>
        </w:rPr>
        <w:t xml:space="preserve"> и </w:t>
      </w:r>
      <w:hyperlink w:history="0" r:id="rId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пункты 24</w:t>
        </w:r>
      </w:hyperlink>
      <w:r>
        <w:rPr>
          <w:sz w:val="24"/>
        </w:rPr>
        <w:t xml:space="preserve"> и </w:t>
      </w:r>
      <w:hyperlink w:history="0" r:id="rId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25 части 1 статьи 93</w:t>
        </w:r>
      </w:hyperlink>
      <w:r>
        <w:rPr>
          <w:sz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Федеральный </w:t>
      </w:r>
      <w:hyperlink w:history="0" r:id="rId1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w:t>
        </w:r>
      </w:hyperlink>
      <w:r>
        <w:rPr>
          <w:sz w:val="24"/>
        </w:rPr>
        <w:t xml:space="preserve"> от 18 июля 2011 г. N 223-ФЗ "О закупках товаров, работ, услуг отдельными видами юридических лиц", </w:t>
      </w:r>
      <w:hyperlink w:history="0" r:id="rId16"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 {КонсультантПлюс}">
        <w:r>
          <w:rPr>
            <w:sz w:val="24"/>
            <w:color w:val="0000ff"/>
          </w:rPr>
          <w:t xml:space="preserve">постановление</w:t>
        </w:r>
      </w:hyperlink>
      <w:r>
        <w:rPr>
          <w:sz w:val="24"/>
        </w:rPr>
        <w:t xml:space="preserve">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pPr>
        <w:pStyle w:val="0"/>
        <w:jc w:val="both"/>
      </w:pPr>
      <w:r>
        <w:rPr>
          <w:sz w:val="24"/>
        </w:rPr>
      </w:r>
    </w:p>
    <w:p>
      <w:pPr>
        <w:pStyle w:val="0"/>
        <w:ind w:firstLine="540"/>
        <w:jc w:val="both"/>
      </w:pPr>
      <w:r>
        <w:rPr>
          <w:sz w:val="24"/>
        </w:rPr>
        <w:t xml:space="preserve">2. Члены саморегулируемой организации представляют в саморегулируемую организацию уведомления:</w:t>
      </w:r>
    </w:p>
    <w:p>
      <w:pPr>
        <w:pStyle w:val="0"/>
        <w:spacing w:before="240" w:lineRule="auto"/>
        <w:ind w:firstLine="540"/>
        <w:jc w:val="both"/>
      </w:pPr>
      <w:r>
        <w:rPr>
          <w:sz w:val="24"/>
        </w:rPr>
        <w:t xml:space="preserve">а) о заключенных ими договорах подряда на выполнение инженерных изысканий;</w:t>
      </w:r>
    </w:p>
    <w:p>
      <w:pPr>
        <w:pStyle w:val="0"/>
        <w:spacing w:before="240" w:lineRule="auto"/>
        <w:ind w:firstLine="540"/>
        <w:jc w:val="both"/>
      </w:pPr>
      <w:r>
        <w:rPr>
          <w:sz w:val="24"/>
        </w:rPr>
        <w:t xml:space="preserve">б) о заключенных ими договорах подряда на подготовку проектной документации;</w:t>
      </w:r>
    </w:p>
    <w:p>
      <w:pPr>
        <w:pStyle w:val="0"/>
        <w:spacing w:before="240" w:lineRule="auto"/>
        <w:ind w:firstLine="540"/>
        <w:jc w:val="both"/>
      </w:pPr>
      <w:r>
        <w:rPr>
          <w:sz w:val="24"/>
        </w:rPr>
        <w:t xml:space="preserve">в) о заключенных ими договорах строительного подряда;</w:t>
      </w:r>
    </w:p>
    <w:p>
      <w:pPr>
        <w:pStyle w:val="0"/>
        <w:spacing w:before="240" w:lineRule="auto"/>
        <w:ind w:firstLine="540"/>
        <w:jc w:val="both"/>
      </w:pPr>
      <w:r>
        <w:rPr>
          <w:sz w:val="24"/>
        </w:rPr>
        <w:t xml:space="preserve">г) о заключенных ими договорах подряда на осуществление сноса;</w:t>
      </w:r>
    </w:p>
    <w:p>
      <w:pPr>
        <w:pStyle w:val="0"/>
        <w:spacing w:before="240" w:lineRule="auto"/>
        <w:ind w:firstLine="540"/>
        <w:jc w:val="both"/>
      </w:pPr>
      <w:r>
        <w:rPr>
          <w:sz w:val="24"/>
        </w:rPr>
        <w:t xml:space="preserve">д) о фактическом совокупном размере обязательств по договорам, заключенным с использованием конкурентных способов заключения договоров.</w:t>
      </w:r>
    </w:p>
    <w:bookmarkStart w:id="64" w:name="P64"/>
    <w:bookmarkEnd w:id="64"/>
    <w:p>
      <w:pPr>
        <w:pStyle w:val="0"/>
        <w:spacing w:before="240" w:lineRule="auto"/>
        <w:ind w:firstLine="540"/>
        <w:jc w:val="both"/>
      </w:pPr>
      <w:r>
        <w:rPr>
          <w:sz w:val="24"/>
        </w:rPr>
        <w:t xml:space="preserve">3. Уведомление должно содержать:</w:t>
      </w:r>
    </w:p>
    <w:bookmarkStart w:id="65" w:name="P65"/>
    <w:bookmarkEnd w:id="65"/>
    <w:p>
      <w:pPr>
        <w:pStyle w:val="0"/>
        <w:spacing w:before="240" w:lineRule="auto"/>
        <w:ind w:firstLine="540"/>
        <w:jc w:val="both"/>
      </w:pPr>
      <w:r>
        <w:rPr>
          <w:sz w:val="24"/>
        </w:rPr>
        <w:t xml:space="preserve">а) сведения о являющемся членом саморегулируемой организации юридическом лице (полное и (или) сокращенное (при наличии) наименование юридического лица, адрес юридического лица в пределах места нахождения юридического лица, основной государственный регистрационный номер, идентификационный номер налогоплательщика, дата приема в члены саморегулируемой организации) или индивидуальном предпринимателе (фамилия, имя, отчество (последнее - при наличии), место жительства в Российской Федерации, основной государственный регистрационный номер для индивидуального предпринимателя, идентификационный номер налогоплательщика, дата приема в члены саморегулируемой организации);</w:t>
      </w:r>
    </w:p>
    <w:p>
      <w:pPr>
        <w:pStyle w:val="0"/>
        <w:spacing w:before="240" w:lineRule="auto"/>
        <w:ind w:firstLine="540"/>
        <w:jc w:val="both"/>
      </w:pPr>
      <w:r>
        <w:rPr>
          <w:sz w:val="24"/>
        </w:rPr>
        <w:t xml:space="preserve">б) сведения о заключенном договоре:</w:t>
      </w:r>
    </w:p>
    <w:p>
      <w:pPr>
        <w:pStyle w:val="0"/>
        <w:spacing w:before="240" w:lineRule="auto"/>
        <w:ind w:firstLine="540"/>
        <w:jc w:val="both"/>
      </w:pPr>
      <w:r>
        <w:rPr>
          <w:sz w:val="24"/>
        </w:rPr>
        <w:t xml:space="preserve">предмет;</w:t>
      </w:r>
    </w:p>
    <w:p>
      <w:pPr>
        <w:pStyle w:val="0"/>
        <w:spacing w:before="240" w:lineRule="auto"/>
        <w:ind w:firstLine="540"/>
        <w:jc w:val="both"/>
      </w:pPr>
      <w:r>
        <w:rPr>
          <w:sz w:val="24"/>
        </w:rPr>
        <w:t xml:space="preserve">фактический размер обязательств;</w:t>
      </w:r>
    </w:p>
    <w:p>
      <w:pPr>
        <w:pStyle w:val="0"/>
        <w:spacing w:before="240" w:lineRule="auto"/>
        <w:ind w:firstLine="540"/>
        <w:jc w:val="both"/>
      </w:pPr>
      <w:r>
        <w:rPr>
          <w:sz w:val="24"/>
        </w:rPr>
        <w:t xml:space="preserve">дополнительные соглашения (при наличии), если такими соглашениями изменяется предмет этого договора или его цена, а также прекращаются обязательства по договору;</w:t>
      </w:r>
    </w:p>
    <w:p>
      <w:pPr>
        <w:pStyle w:val="0"/>
        <w:spacing w:before="240" w:lineRule="auto"/>
        <w:ind w:firstLine="540"/>
        <w:jc w:val="both"/>
      </w:pPr>
      <w:r>
        <w:rPr>
          <w:sz w:val="24"/>
        </w:rPr>
        <w:t xml:space="preserve">информация об исполнении обязательств (акты приемки результатов выполненных работ);</w:t>
      </w:r>
    </w:p>
    <w:p>
      <w:pPr>
        <w:pStyle w:val="0"/>
        <w:spacing w:before="240" w:lineRule="auto"/>
        <w:ind w:firstLine="540"/>
        <w:jc w:val="both"/>
      </w:pPr>
      <w:r>
        <w:rPr>
          <w:sz w:val="24"/>
        </w:rPr>
        <w:t xml:space="preserve">в) сведения о фактическом совокупном размере обязательств по договорам, заключенным с использованием конкурентных способов заключения договоров (при наличии), который определяется на день предоставления уведомления в порядке, установленном </w:t>
      </w:r>
      <w:hyperlink w:history="0" r:id="rId17" w:tooltip="&quot;Градостроительный кодекс Российской Федерации&quot; от 29.12.2004 N 190-ФЗ (ред. от 31.07.2025) {КонсультантПлюс}">
        <w:r>
          <w:rPr>
            <w:sz w:val="24"/>
            <w:color w:val="0000ff"/>
          </w:rPr>
          <w:t xml:space="preserve">частью 7 статьи 55.13</w:t>
        </w:r>
      </w:hyperlink>
      <w:r>
        <w:rPr>
          <w:sz w:val="24"/>
        </w:rPr>
        <w:t xml:space="preserve"> Кодекса.</w:t>
      </w:r>
    </w:p>
    <w:p>
      <w:pPr>
        <w:pStyle w:val="0"/>
        <w:spacing w:before="240" w:lineRule="auto"/>
        <w:ind w:firstLine="540"/>
        <w:jc w:val="both"/>
      </w:pPr>
      <w:r>
        <w:rPr>
          <w:sz w:val="24"/>
        </w:rPr>
        <w:t xml:space="preserve">4. К уведомлению прилагаются копии документов (договоры, дополнительные соглашения к ним, акты приемки результата работ), подтверждающих сведения, указанные в пункте 4 настоящих Правил.</w:t>
      </w:r>
    </w:p>
    <w:p>
      <w:pPr>
        <w:pStyle w:val="0"/>
        <w:spacing w:before="240" w:lineRule="auto"/>
        <w:ind w:firstLine="540"/>
        <w:jc w:val="both"/>
      </w:pPr>
      <w:r>
        <w:rPr>
          <w:sz w:val="24"/>
        </w:rPr>
        <w:t xml:space="preserve">5. Уведомление представляется членом саморегулируемой организации непосредственно в саморегулируемую организацию или посредством направления его почтовым отправлением с описью вложения и уведомлением о вручении либо в виде электронного документа, подписанного электронной подписью.</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Минстроя России от 27.10.2025 N 655/пр</w:t>
            <w:br/>
            <w:t>"Об утверждении Порядка уведомления саморегулируемых организаций в области...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394&amp;date=03.12.2025&amp;dst=2709&amp;field=134" TargetMode = "External"/><Relationship Id="rId9" Type="http://schemas.openxmlformats.org/officeDocument/2006/relationships/hyperlink" Target="https://login.consultant.ru/link/?req=doc&amp;base=LAW&amp;n=507478&amp;date=03.12.2025&amp;dst=166&amp;field=134" TargetMode = "External"/><Relationship Id="rId10" Type="http://schemas.openxmlformats.org/officeDocument/2006/relationships/hyperlink" Target="https://login.consultant.ru/link/?req=doc&amp;base=LAW&amp;n=217948&amp;date=03.12.2025" TargetMode = "External"/><Relationship Id="rId11" Type="http://schemas.openxmlformats.org/officeDocument/2006/relationships/hyperlink" Target="https://login.consultant.ru/link/?req=doc&amp;base=LAW&amp;n=511394&amp;date=03.12.2025&amp;dst=2709&amp;field=134" TargetMode = "External"/><Relationship Id="rId12" Type="http://schemas.openxmlformats.org/officeDocument/2006/relationships/hyperlink" Target="https://login.consultant.ru/link/?req=doc&amp;base=LAW&amp;n=494990&amp;date=03.12.2025&amp;dst=2112&amp;field=134" TargetMode = "External"/><Relationship Id="rId13" Type="http://schemas.openxmlformats.org/officeDocument/2006/relationships/hyperlink" Target="https://login.consultant.ru/link/?req=doc&amp;base=LAW&amp;n=494990&amp;date=03.12.2025&amp;dst=2920&amp;field=134" TargetMode = "External"/><Relationship Id="rId14" Type="http://schemas.openxmlformats.org/officeDocument/2006/relationships/hyperlink" Target="https://login.consultant.ru/link/?req=doc&amp;base=LAW&amp;n=494990&amp;date=03.12.2025&amp;dst=12032&amp;field=134" TargetMode = "External"/><Relationship Id="rId15" Type="http://schemas.openxmlformats.org/officeDocument/2006/relationships/hyperlink" Target="https://login.consultant.ru/link/?req=doc&amp;base=LAW&amp;n=483052&amp;date=03.12.2025" TargetMode = "External"/><Relationship Id="rId16" Type="http://schemas.openxmlformats.org/officeDocument/2006/relationships/hyperlink" Target="https://login.consultant.ru/link/?req=doc&amp;base=LAW&amp;n=498472&amp;date=03.12.2025" TargetMode = "External"/><Relationship Id="rId17" Type="http://schemas.openxmlformats.org/officeDocument/2006/relationships/hyperlink" Target="https://login.consultant.ru/link/?req=doc&amp;base=LAW&amp;n=511394&amp;date=03.12.2025&amp;dst=271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России от 27.10.2025 N 655/пр
"Об утверждении Порядка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dc:title>
  <dcterms:created xsi:type="dcterms:W3CDTF">2025-12-03T06:45:02Z</dcterms:created>
</cp:coreProperties>
</file>